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32D29B" w14:textId="6A9F6052" w:rsidR="007D0856" w:rsidRDefault="00373757" w:rsidP="004733D4">
      <w:pPr>
        <w:rPr>
          <w:noProof/>
        </w:rPr>
      </w:pPr>
      <w:r>
        <w:rPr>
          <w:noProof/>
        </w:rPr>
        <w:drawing>
          <wp:anchor distT="0" distB="0" distL="114300" distR="114300" simplePos="0" relativeHeight="251704320" behindDoc="0" locked="0" layoutInCell="1" allowOverlap="1" wp14:anchorId="1BAEFA40" wp14:editId="1C739EA3">
            <wp:simplePos x="0" y="0"/>
            <wp:positionH relativeFrom="margin">
              <wp:posOffset>2380615</wp:posOffset>
            </wp:positionH>
            <wp:positionV relativeFrom="paragraph">
              <wp:posOffset>-534035</wp:posOffset>
            </wp:positionV>
            <wp:extent cx="1912037" cy="10001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MRA_Pos RGB .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12037" cy="10001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1008" behindDoc="0" locked="0" layoutInCell="1" allowOverlap="1" wp14:anchorId="351B4C8D" wp14:editId="7B6F0106">
            <wp:simplePos x="0" y="0"/>
            <wp:positionH relativeFrom="margin">
              <wp:align>left</wp:align>
            </wp:positionH>
            <wp:positionV relativeFrom="page">
              <wp:posOffset>457200</wp:posOffset>
            </wp:positionV>
            <wp:extent cx="1828800" cy="868680"/>
            <wp:effectExtent l="0" t="0" r="0" b="7620"/>
            <wp:wrapNone/>
            <wp:docPr id="13" name="Picture 1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Logo&#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28800" cy="868680"/>
                    </a:xfrm>
                    <a:prstGeom prst="rect">
                      <a:avLst/>
                    </a:prstGeom>
                  </pic:spPr>
                </pic:pic>
              </a:graphicData>
            </a:graphic>
            <wp14:sizeRelH relativeFrom="page">
              <wp14:pctWidth>0</wp14:pctWidth>
            </wp14:sizeRelH>
            <wp14:sizeRelV relativeFrom="page">
              <wp14:pctHeight>0</wp14:pctHeight>
            </wp14:sizeRelV>
          </wp:anchor>
        </w:drawing>
      </w:r>
      <w:r w:rsidR="00EE7719">
        <w:rPr>
          <w:noProof/>
        </w:rPr>
        <w:drawing>
          <wp:anchor distT="0" distB="0" distL="114300" distR="114300" simplePos="0" relativeHeight="251692032" behindDoc="1" locked="0" layoutInCell="1" allowOverlap="0" wp14:anchorId="67864424" wp14:editId="24F0FCA9">
            <wp:simplePos x="0" y="0"/>
            <wp:positionH relativeFrom="page">
              <wp:posOffset>0</wp:posOffset>
            </wp:positionH>
            <wp:positionV relativeFrom="page">
              <wp:posOffset>0</wp:posOffset>
            </wp:positionV>
            <wp:extent cx="7772400" cy="100584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r w:rsidR="00D2512F" w:rsidRPr="004C195A">
        <w:rPr>
          <w:noProof/>
        </w:rPr>
        <mc:AlternateContent>
          <mc:Choice Requires="wps">
            <w:drawing>
              <wp:anchor distT="45720" distB="45720" distL="114300" distR="114300" simplePos="0" relativeHeight="251696128" behindDoc="1" locked="0" layoutInCell="1" allowOverlap="1" wp14:anchorId="4C19A23B" wp14:editId="6766A2F6">
                <wp:simplePos x="0" y="0"/>
                <wp:positionH relativeFrom="page">
                  <wp:posOffset>0</wp:posOffset>
                </wp:positionH>
                <wp:positionV relativeFrom="page">
                  <wp:posOffset>1828800</wp:posOffset>
                </wp:positionV>
                <wp:extent cx="7772400" cy="333756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337560"/>
                        </a:xfrm>
                        <a:prstGeom prst="rect">
                          <a:avLst/>
                        </a:prstGeom>
                        <a:gradFill flip="none" rotWithShape="1">
                          <a:gsLst>
                            <a:gs pos="0">
                              <a:srgbClr val="245FAC"/>
                            </a:gs>
                            <a:gs pos="100000">
                              <a:srgbClr val="003F65"/>
                            </a:gs>
                          </a:gsLst>
                          <a:lin ang="0" scaled="1"/>
                          <a:tileRect/>
                        </a:gradFill>
                        <a:ln w="9525">
                          <a:noFill/>
                          <a:miter lim="800000"/>
                          <a:headEnd/>
                          <a:tailEnd/>
                        </a:ln>
                      </wps:spPr>
                      <wps:txbx>
                        <w:txbxContent>
                          <w:p w14:paraId="61642D95" w14:textId="47CC4E7E" w:rsidR="00373757" w:rsidRDefault="00634B3F" w:rsidP="00D2512F">
                            <w:pPr>
                              <w:pStyle w:val="CoverDate"/>
                              <w:rPr>
                                <w:rFonts w:eastAsiaTheme="minorHAnsi" w:cs="Arial"/>
                                <w:b/>
                                <w:caps w:val="0"/>
                                <w:sz w:val="72"/>
                              </w:rPr>
                            </w:pPr>
                            <w:r>
                              <w:rPr>
                                <w:rFonts w:eastAsiaTheme="minorHAnsi" w:cs="Arial"/>
                                <w:b/>
                                <w:caps w:val="0"/>
                                <w:sz w:val="72"/>
                              </w:rPr>
                              <w:t>2013-2021</w:t>
                            </w:r>
                            <w:r w:rsidR="00373757" w:rsidRPr="00373757">
                              <w:rPr>
                                <w:rFonts w:eastAsiaTheme="minorHAnsi" w:cs="Arial"/>
                                <w:b/>
                                <w:caps w:val="0"/>
                                <w:sz w:val="72"/>
                              </w:rPr>
                              <w:t xml:space="preserve"> </w:t>
                            </w:r>
                            <w:r w:rsidRPr="00634B3F">
                              <w:rPr>
                                <w:rFonts w:eastAsiaTheme="minorHAnsi" w:cs="Arial"/>
                                <w:b/>
                                <w:caps w:val="0"/>
                                <w:sz w:val="72"/>
                              </w:rPr>
                              <w:t xml:space="preserve">Group Term Life </w:t>
                            </w:r>
                            <w:r w:rsidR="00D90480">
                              <w:rPr>
                                <w:rFonts w:eastAsiaTheme="minorHAnsi" w:cs="Arial"/>
                                <w:b/>
                                <w:caps w:val="0"/>
                                <w:sz w:val="72"/>
                              </w:rPr>
                              <w:t>Experience</w:t>
                            </w:r>
                            <w:r w:rsidRPr="00634B3F">
                              <w:rPr>
                                <w:rFonts w:eastAsiaTheme="minorHAnsi" w:cs="Arial"/>
                                <w:b/>
                                <w:caps w:val="0"/>
                                <w:sz w:val="72"/>
                              </w:rPr>
                              <w:t xml:space="preserve"> Study</w:t>
                            </w:r>
                            <w:r>
                              <w:rPr>
                                <w:rFonts w:eastAsiaTheme="minorHAnsi" w:cs="Arial"/>
                                <w:b/>
                                <w:caps w:val="0"/>
                                <w:sz w:val="72"/>
                              </w:rPr>
                              <w:t xml:space="preserve"> </w:t>
                            </w:r>
                            <w:r w:rsidR="00373757" w:rsidRPr="00373757">
                              <w:rPr>
                                <w:rFonts w:eastAsiaTheme="minorHAnsi" w:cs="Arial"/>
                                <w:b/>
                                <w:caps w:val="0"/>
                                <w:sz w:val="72"/>
                              </w:rPr>
                              <w:t>Data Request</w:t>
                            </w:r>
                          </w:p>
                          <w:p w14:paraId="7C39D8E0" w14:textId="7E64C916" w:rsidR="00D2512F" w:rsidRPr="00231A7F" w:rsidRDefault="00634B3F" w:rsidP="00D2512F">
                            <w:pPr>
                              <w:pStyle w:val="CoverDate"/>
                            </w:pPr>
                            <w:r>
                              <w:t>March</w:t>
                            </w:r>
                            <w:r w:rsidR="00D2512F" w:rsidRPr="00231A7F">
                              <w:t xml:space="preserve"> | 202</w:t>
                            </w:r>
                            <w:r>
                              <w:t>3</w:t>
                            </w:r>
                            <w:r w:rsidR="00D2512F" w:rsidRPr="00231A7F">
                              <w:t xml:space="preserve"> </w:t>
                            </w:r>
                          </w:p>
                        </w:txbxContent>
                      </wps:txbx>
                      <wps:bodyPr rot="0" vert="horz" wrap="square" lIns="457200" tIns="137160" rIns="1097280" bIns="13716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4C19A23B" id="_x0000_t202" coordsize="21600,21600" o:spt="202" path="m,l,21600r21600,l21600,xe">
                <v:stroke joinstyle="miter"/>
                <v:path gradientshapeok="t" o:connecttype="rect"/>
              </v:shapetype>
              <v:shape id="Text Box 2" o:spid="_x0000_s1026" type="#_x0000_t202" style="position:absolute;margin-left:0;margin-top:2in;width:612pt;height:262.8pt;z-index:-25162035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" fillcolor="#245fac" stroked="f">
                <v:fill color2="#003f65" rotate="t" angle="90" focus="100%" type="gradient"/>
                <v:textbox inset="36pt,10.8pt,86.4pt,10.8pt">
                  <w:txbxContent>
                    <w:p w14:paraId="61642D95" w14:textId="47CC4E7E" w:rsidR="00373757" w:rsidRDefault="00634B3F" w:rsidP="00D2512F">
                      <w:pPr>
                        <w:pStyle w:val="CoverDate"/>
                        <w:rPr>
                          <w:rFonts w:eastAsiaTheme="minorHAnsi" w:cs="Arial"/>
                          <w:b/>
                          <w:caps w:val="0"/>
                          <w:sz w:val="72"/>
                        </w:rPr>
                      </w:pPr>
                      <w:r>
                        <w:rPr>
                          <w:rFonts w:eastAsiaTheme="minorHAnsi" w:cs="Arial"/>
                          <w:b/>
                          <w:caps w:val="0"/>
                          <w:sz w:val="72"/>
                        </w:rPr>
                        <w:t>2013-2021</w:t>
                      </w:r>
                      <w:r w:rsidR="00373757" w:rsidRPr="00373757">
                        <w:rPr>
                          <w:rFonts w:eastAsiaTheme="minorHAnsi" w:cs="Arial"/>
                          <w:b/>
                          <w:caps w:val="0"/>
                          <w:sz w:val="72"/>
                        </w:rPr>
                        <w:t xml:space="preserve"> </w:t>
                      </w:r>
                      <w:r w:rsidRPr="00634B3F">
                        <w:rPr>
                          <w:rFonts w:eastAsiaTheme="minorHAnsi" w:cs="Arial"/>
                          <w:b/>
                          <w:caps w:val="0"/>
                          <w:sz w:val="72"/>
                        </w:rPr>
                        <w:t xml:space="preserve">Group Term Life </w:t>
                      </w:r>
                      <w:r w:rsidR="00D90480">
                        <w:rPr>
                          <w:rFonts w:eastAsiaTheme="minorHAnsi" w:cs="Arial"/>
                          <w:b/>
                          <w:caps w:val="0"/>
                          <w:sz w:val="72"/>
                        </w:rPr>
                        <w:t>Experience</w:t>
                      </w:r>
                      <w:r w:rsidRPr="00634B3F">
                        <w:rPr>
                          <w:rFonts w:eastAsiaTheme="minorHAnsi" w:cs="Arial"/>
                          <w:b/>
                          <w:caps w:val="0"/>
                          <w:sz w:val="72"/>
                        </w:rPr>
                        <w:t xml:space="preserve"> Study</w:t>
                      </w:r>
                      <w:r>
                        <w:rPr>
                          <w:rFonts w:eastAsiaTheme="minorHAnsi" w:cs="Arial"/>
                          <w:b/>
                          <w:caps w:val="0"/>
                          <w:sz w:val="72"/>
                        </w:rPr>
                        <w:t xml:space="preserve"> </w:t>
                      </w:r>
                      <w:r w:rsidR="00373757" w:rsidRPr="00373757">
                        <w:rPr>
                          <w:rFonts w:eastAsiaTheme="minorHAnsi" w:cs="Arial"/>
                          <w:b/>
                          <w:caps w:val="0"/>
                          <w:sz w:val="72"/>
                        </w:rPr>
                        <w:t>Data Request</w:t>
                      </w:r>
                    </w:p>
                    <w:p w14:paraId="7C39D8E0" w14:textId="7E64C916" w:rsidR="00D2512F" w:rsidRPr="00231A7F" w:rsidRDefault="00634B3F" w:rsidP="00D2512F">
                      <w:pPr>
                        <w:pStyle w:val="CoverDate"/>
                      </w:pPr>
                      <w:r>
                        <w:t>March</w:t>
                      </w:r>
                      <w:r w:rsidR="00D2512F" w:rsidRPr="00231A7F">
                        <w:t xml:space="preserve"> | 202</w:t>
                      </w:r>
                      <w:r>
                        <w:t>3</w:t>
                      </w:r>
                      <w:r w:rsidR="00D2512F" w:rsidRPr="00231A7F">
                        <w:t xml:space="preserve"> </w:t>
                      </w:r>
                    </w:p>
                  </w:txbxContent>
                </v:textbox>
                <w10:wrap anchorx="page" anchory="page"/>
              </v:shape>
            </w:pict>
          </mc:Fallback>
        </mc:AlternateContent>
      </w:r>
      <w:r w:rsidR="00AF1924">
        <w:rPr>
          <w:noProof/>
        </w:rPr>
        <w:br w:type="page"/>
      </w:r>
    </w:p>
    <w:p w14:paraId="23C67EBE" w14:textId="77777777" w:rsidR="008D03EA" w:rsidRDefault="008D03EA" w:rsidP="004733D4">
      <w:pPr>
        <w:rPr>
          <w:noProof/>
        </w:rPr>
        <w:sectPr w:rsidR="008D03EA" w:rsidSect="0067321E">
          <w:headerReference w:type="even" r:id="rId11"/>
          <w:headerReference w:type="default" r:id="rId12"/>
          <w:footerReference w:type="even" r:id="rId13"/>
          <w:footerReference w:type="default" r:id="rId14"/>
          <w:headerReference w:type="first" r:id="rId15"/>
          <w:footerReference w:type="first" r:id="rId16"/>
          <w:type w:val="continuous"/>
          <w:pgSz w:w="12240" w:h="15840"/>
          <w:pgMar w:top="1440" w:right="1440" w:bottom="1440" w:left="1440" w:header="720" w:footer="520" w:gutter="0"/>
          <w:cols w:space="720"/>
          <w:titlePg/>
          <w:docGrid w:linePitch="360"/>
        </w:sectPr>
      </w:pPr>
    </w:p>
    <w:p w14:paraId="10F91139" w14:textId="7F3F2245" w:rsidR="00AF1924" w:rsidRPr="00511635" w:rsidRDefault="00111DA2" w:rsidP="004733D4">
      <w:r>
        <w:rPr>
          <w:noProof/>
        </w:rPr>
        <w:lastRenderedPageBreak/>
        <w:drawing>
          <wp:anchor distT="0" distB="0" distL="114300" distR="114300" simplePos="0" relativeHeight="251706368" behindDoc="0" locked="0" layoutInCell="1" allowOverlap="1" wp14:anchorId="610A9CEF" wp14:editId="16FC60A3">
            <wp:simplePos x="0" y="0"/>
            <wp:positionH relativeFrom="margin">
              <wp:posOffset>1430867</wp:posOffset>
            </wp:positionH>
            <wp:positionV relativeFrom="paragraph">
              <wp:posOffset>0</wp:posOffset>
            </wp:positionV>
            <wp:extent cx="1143000" cy="583329"/>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IMRA_Pos RGB .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43000" cy="583329"/>
                    </a:xfrm>
                    <a:prstGeom prst="rect">
                      <a:avLst/>
                    </a:prstGeom>
                  </pic:spPr>
                </pic:pic>
              </a:graphicData>
            </a:graphic>
            <wp14:sizeRelH relativeFrom="margin">
              <wp14:pctWidth>0</wp14:pctWidth>
            </wp14:sizeRelH>
            <wp14:sizeRelV relativeFrom="margin">
              <wp14:pctHeight>0</wp14:pctHeight>
            </wp14:sizeRelV>
          </wp:anchor>
        </w:drawing>
      </w:r>
      <w:r w:rsidR="00007568">
        <w:rPr>
          <w:noProof/>
        </w:rPr>
        <w:drawing>
          <wp:inline distT="0" distB="0" distL="0" distR="0" wp14:anchorId="0D796667" wp14:editId="055A4547">
            <wp:extent cx="1099038" cy="521282"/>
            <wp:effectExtent l="0" t="0" r="0" b="0"/>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Logo&#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52905" cy="546832"/>
                    </a:xfrm>
                    <a:prstGeom prst="rect">
                      <a:avLst/>
                    </a:prstGeom>
                  </pic:spPr>
                </pic:pic>
              </a:graphicData>
            </a:graphic>
          </wp:inline>
        </w:drawing>
      </w:r>
    </w:p>
    <w:p w14:paraId="3E167526" w14:textId="77777777" w:rsidR="00F063FF" w:rsidRDefault="00F063FF" w:rsidP="004733D4">
      <w:pPr>
        <w:pStyle w:val="Title"/>
      </w:pPr>
    </w:p>
    <w:p w14:paraId="50366B3C" w14:textId="0D1672D7" w:rsidR="00AF1924" w:rsidRPr="008F72CC" w:rsidRDefault="00634B3F" w:rsidP="008F72CC">
      <w:pPr>
        <w:pStyle w:val="Subtitle"/>
      </w:pPr>
      <w:r w:rsidRPr="00634B3F">
        <w:rPr>
          <w:rFonts w:eastAsiaTheme="minorHAnsi"/>
          <w:color w:val="024D7C" w:themeColor="accent1"/>
          <w:sz w:val="50"/>
          <w:szCs w:val="50"/>
        </w:rPr>
        <w:t xml:space="preserve">2013-2021 Group Term Life </w:t>
      </w:r>
      <w:r w:rsidR="00D90480">
        <w:rPr>
          <w:rFonts w:eastAsiaTheme="minorHAnsi"/>
          <w:color w:val="024D7C" w:themeColor="accent1"/>
          <w:sz w:val="50"/>
          <w:szCs w:val="50"/>
        </w:rPr>
        <w:t>Experience</w:t>
      </w:r>
      <w:r w:rsidRPr="00634B3F">
        <w:rPr>
          <w:rFonts w:eastAsiaTheme="minorHAnsi"/>
          <w:color w:val="024D7C" w:themeColor="accent1"/>
          <w:sz w:val="50"/>
          <w:szCs w:val="50"/>
        </w:rPr>
        <w:t xml:space="preserve"> Study Data Request</w:t>
      </w:r>
    </w:p>
    <w:p w14:paraId="52BCB6A3" w14:textId="77777777" w:rsidR="008D03EA" w:rsidRDefault="008D03EA" w:rsidP="008D03EA"/>
    <w:p w14:paraId="2CB75CE3" w14:textId="77777777" w:rsidR="00F53075" w:rsidRDefault="00F53075" w:rsidP="00F53075"/>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3"/>
        <w:gridCol w:w="3674"/>
      </w:tblGrid>
      <w:tr w:rsidR="00634B3F" w:rsidRPr="008D03EA" w14:paraId="632EECD7" w14:textId="77777777" w:rsidTr="00634B3F">
        <w:tc>
          <w:tcPr>
            <w:tcW w:w="853" w:type="dxa"/>
            <w:tcMar>
              <w:left w:w="0" w:type="dxa"/>
              <w:right w:w="115" w:type="dxa"/>
            </w:tcMar>
          </w:tcPr>
          <w:p w14:paraId="117349DC" w14:textId="77777777" w:rsidR="00634B3F" w:rsidRPr="008D03EA" w:rsidRDefault="00634B3F" w:rsidP="00C5456C">
            <w:pPr>
              <w:pStyle w:val="Authorsponsorheading"/>
            </w:pPr>
            <w:r w:rsidRPr="008D03EA">
              <w:t>A</w:t>
            </w:r>
            <w:r>
              <w:t>uthors</w:t>
            </w:r>
          </w:p>
        </w:tc>
        <w:tc>
          <w:tcPr>
            <w:tcW w:w="3674" w:type="dxa"/>
          </w:tcPr>
          <w:p w14:paraId="25B7DDD5" w14:textId="77777777" w:rsidR="00634B3F" w:rsidRDefault="00634B3F" w:rsidP="00C5456C">
            <w:pPr>
              <w:pStyle w:val="Authorinfo"/>
            </w:pPr>
            <w:r>
              <w:t>SOA Research Institute</w:t>
            </w:r>
          </w:p>
          <w:p w14:paraId="4C4775C7" w14:textId="224755EB" w:rsidR="00634B3F" w:rsidRPr="008D03EA" w:rsidRDefault="00634B3F" w:rsidP="00C5456C">
            <w:pPr>
              <w:pStyle w:val="Authorinfo"/>
            </w:pPr>
            <w:r>
              <w:t>Group Life Experience Committee</w:t>
            </w:r>
          </w:p>
        </w:tc>
      </w:tr>
    </w:tbl>
    <w:p w14:paraId="1A40E1A7" w14:textId="77777777" w:rsidR="00F53075" w:rsidRPr="008D03EA" w:rsidRDefault="00F53075" w:rsidP="00F53075"/>
    <w:p w14:paraId="461D8C93" w14:textId="77777777" w:rsidR="00AF1924" w:rsidRDefault="009924D3" w:rsidP="004733D4">
      <w:pPr>
        <w:rPr>
          <w:noProof/>
        </w:rPr>
      </w:pPr>
      <w:r w:rsidRPr="00AF1924">
        <w:rPr>
          <w:noProof/>
        </w:rPr>
        <mc:AlternateContent>
          <mc:Choice Requires="wps">
            <w:drawing>
              <wp:anchor distT="45720" distB="45720" distL="114300" distR="114300" simplePos="0" relativeHeight="251659264" behindDoc="0" locked="0" layoutInCell="1" allowOverlap="1" wp14:anchorId="73206FAF" wp14:editId="3E6983EF">
                <wp:simplePos x="0" y="0"/>
                <wp:positionH relativeFrom="margin">
                  <wp:posOffset>9525</wp:posOffset>
                </wp:positionH>
                <wp:positionV relativeFrom="page">
                  <wp:posOffset>4981575</wp:posOffset>
                </wp:positionV>
                <wp:extent cx="5943600" cy="4166870"/>
                <wp:effectExtent l="0" t="0" r="0" b="0"/>
                <wp:wrapNone/>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166870"/>
                        </a:xfrm>
                        <a:prstGeom prst="rect">
                          <a:avLst/>
                        </a:prstGeom>
                        <a:noFill/>
                        <a:ln w="9525">
                          <a:noFill/>
                          <a:miter lim="800000"/>
                          <a:headEnd/>
                          <a:tailEnd/>
                        </a:ln>
                      </wps:spPr>
                      <wps:txbx>
                        <w:txbxContent>
                          <w:p w14:paraId="4B173D45" w14:textId="77777777" w:rsidR="009924D3" w:rsidRDefault="00007568" w:rsidP="00A16E05">
                            <w:pPr>
                              <w:pStyle w:val="FootnoteText1"/>
                            </w:pPr>
                            <w:r>
                              <w:rPr>
                                <w:noProof/>
                              </w:rPr>
                              <w:drawing>
                                <wp:inline distT="0" distB="0" distL="0" distR="0" wp14:anchorId="2C007A8B" wp14:editId="2969EC68">
                                  <wp:extent cx="5485602" cy="831983"/>
                                  <wp:effectExtent l="0" t="0" r="127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8">
                                            <a:extLst>
                                              <a:ext uri="{28A0092B-C50C-407E-A947-70E740481C1C}">
                                                <a14:useLocalDpi xmlns:a14="http://schemas.microsoft.com/office/drawing/2010/main" val="0"/>
                                              </a:ext>
                                            </a:extLst>
                                          </a:blip>
                                          <a:stretch>
                                            <a:fillRect/>
                                          </a:stretch>
                                        </pic:blipFill>
                                        <pic:spPr>
                                          <a:xfrm>
                                            <a:off x="0" y="0"/>
                                            <a:ext cx="5485602" cy="831983"/>
                                          </a:xfrm>
                                          <a:prstGeom prst="rect">
                                            <a:avLst/>
                                          </a:prstGeom>
                                        </pic:spPr>
                                      </pic:pic>
                                    </a:graphicData>
                                  </a:graphic>
                                </wp:inline>
                              </w:drawing>
                            </w:r>
                          </w:p>
                          <w:p w14:paraId="55965FD3" w14:textId="77777777" w:rsidR="009924D3" w:rsidRDefault="009924D3" w:rsidP="00A16E05">
                            <w:pPr>
                              <w:pStyle w:val="FootnoteText1"/>
                            </w:pPr>
                          </w:p>
                          <w:p w14:paraId="04E700BE" w14:textId="77777777" w:rsidR="009924D3" w:rsidRDefault="009924D3" w:rsidP="00A16E05">
                            <w:pPr>
                              <w:pStyle w:val="FootnoteText1"/>
                            </w:pPr>
                          </w:p>
                          <w:p w14:paraId="2D141965" w14:textId="77777777" w:rsidR="009924D3" w:rsidRDefault="009924D3" w:rsidP="00A16E05">
                            <w:pPr>
                              <w:pStyle w:val="FootnoteText1"/>
                            </w:pPr>
                          </w:p>
                          <w:p w14:paraId="771EFD26" w14:textId="77777777" w:rsidR="009924D3" w:rsidRDefault="009924D3" w:rsidP="00A16E05">
                            <w:pPr>
                              <w:pStyle w:val="FootnoteText1"/>
                            </w:pPr>
                          </w:p>
                          <w:p w14:paraId="7AE28340" w14:textId="77777777" w:rsidR="009924D3" w:rsidRDefault="009924D3" w:rsidP="00A16E05">
                            <w:pPr>
                              <w:pStyle w:val="FootnoteText1"/>
                            </w:pPr>
                          </w:p>
                          <w:p w14:paraId="5ED2368B" w14:textId="77777777" w:rsidR="009924D3" w:rsidRDefault="009924D3" w:rsidP="00A16E05">
                            <w:pPr>
                              <w:pStyle w:val="FootnoteText1"/>
                            </w:pPr>
                          </w:p>
                          <w:p w14:paraId="41835BEC" w14:textId="77777777" w:rsidR="009924D3" w:rsidRDefault="009924D3" w:rsidP="00A16E05">
                            <w:pPr>
                              <w:pStyle w:val="FootnoteText1"/>
                            </w:pPr>
                          </w:p>
                          <w:p w14:paraId="676A3603" w14:textId="77777777" w:rsidR="00697AEC" w:rsidRPr="00AB3BDD" w:rsidRDefault="00697AEC" w:rsidP="00A16E05">
                            <w:pPr>
                              <w:pStyle w:val="FootnoteText1"/>
                              <w:rPr>
                                <w:b/>
                                <w:bCs/>
                                <w:color w:val="024D7C" w:themeColor="accent1"/>
                                <w:sz w:val="16"/>
                                <w:szCs w:val="16"/>
                              </w:rPr>
                            </w:pPr>
                            <w:r w:rsidRPr="00AB3BDD">
                              <w:rPr>
                                <w:b/>
                                <w:bCs/>
                                <w:color w:val="024D7C" w:themeColor="accent1"/>
                                <w:sz w:val="16"/>
                                <w:szCs w:val="16"/>
                              </w:rPr>
                              <w:t>Caveat and Disclaimer</w:t>
                            </w:r>
                          </w:p>
                          <w:p w14:paraId="70A703A7" w14:textId="77777777" w:rsidR="00697AEC" w:rsidRDefault="00697AEC" w:rsidP="00A16E05">
                            <w:pPr>
                              <w:pStyle w:val="FootnoteText1"/>
                            </w:pPr>
                            <w:r w:rsidRPr="00F7380A">
                              <w:t xml:space="preserve">The opinions expressed and conclusions reached by the authors are their own and do not represent any official position or opinion of the Society of Actuaries </w:t>
                            </w:r>
                            <w:r w:rsidR="008D03EA">
                              <w:t xml:space="preserve">Research Institute, the </w:t>
                            </w:r>
                            <w:r w:rsidR="008D03EA" w:rsidRPr="00F7380A">
                              <w:t xml:space="preserve">Society of Actuaries </w:t>
                            </w:r>
                            <w:r w:rsidRPr="00F7380A">
                              <w:t xml:space="preserve">or its members. The Society of Actuaries </w:t>
                            </w:r>
                            <w:r w:rsidR="008D03EA">
                              <w:t>Research Institute</w:t>
                            </w:r>
                            <w:r w:rsidR="008D03EA" w:rsidRPr="00F7380A">
                              <w:t xml:space="preserve"> </w:t>
                            </w:r>
                            <w:r w:rsidRPr="00F7380A">
                              <w:t>makes no representation or warranty to the accuracy of the information</w:t>
                            </w:r>
                            <w:r>
                              <w:t>.</w:t>
                            </w:r>
                          </w:p>
                          <w:p w14:paraId="52441374" w14:textId="77777777" w:rsidR="00697AEC" w:rsidRDefault="00697AEC" w:rsidP="00A16E05">
                            <w:pPr>
                              <w:pStyle w:val="FootnoteText1"/>
                            </w:pPr>
                          </w:p>
                          <w:p w14:paraId="18AB37AA" w14:textId="7D7DC26D" w:rsidR="00697AEC" w:rsidRPr="00A61C8A" w:rsidRDefault="00697AEC" w:rsidP="00A16E05">
                            <w:pPr>
                              <w:pStyle w:val="FootnoteText1"/>
                            </w:pPr>
                            <w:r w:rsidRPr="00A61C8A">
                              <w:t>Copyright ©</w:t>
                            </w:r>
                            <w:r>
                              <w:t xml:space="preserve"> </w:t>
                            </w:r>
                            <w:r w:rsidR="00634B3F">
                              <w:t>2023</w:t>
                            </w:r>
                            <w:r w:rsidR="008E7C85" w:rsidRPr="00A61C8A">
                              <w:t xml:space="preserve"> </w:t>
                            </w:r>
                            <w:r w:rsidRPr="00A61C8A">
                              <w:t>by the</w:t>
                            </w:r>
                            <w:r w:rsidR="008D03EA" w:rsidRPr="008D03EA">
                              <w:t xml:space="preserve"> </w:t>
                            </w:r>
                            <w:r w:rsidR="008D03EA" w:rsidRPr="00F7380A">
                              <w:t xml:space="preserve">Society of Actuaries </w:t>
                            </w:r>
                            <w:r w:rsidR="008D03EA">
                              <w:t>Research Institute</w:t>
                            </w:r>
                            <w:r>
                              <w:t>.</w:t>
                            </w:r>
                            <w:r w:rsidRPr="00A61C8A">
                              <w:t xml:space="preserve"> </w:t>
                            </w:r>
                            <w:r>
                              <w:t>All rights reserved.</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73206FAF" id="_x0000_s1027" type="#_x0000_t202" style="position:absolute;margin-left:.75pt;margin-top:392.25pt;width:468pt;height:328.1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" filled="f" stroked="f">
                <v:textbox inset="0,0,0,0">
                  <w:txbxContent>
                    <w:p w14:paraId="4B173D45" w14:textId="77777777" w:rsidR="009924D3" w:rsidRDefault="00007568" w:rsidP="00A16E05">
                      <w:pPr>
                        <w:pStyle w:val="FootnoteText1"/>
                      </w:pPr>
                      <w:r>
                        <w:rPr>
                          <w:noProof/>
                        </w:rPr>
                        <w:drawing>
                          <wp:inline distT="0" distB="0" distL="0" distR="0" wp14:anchorId="2C007A8B" wp14:editId="2969EC68">
                            <wp:extent cx="5485602" cy="831983"/>
                            <wp:effectExtent l="0" t="0" r="127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8">
                                      <a:extLst>
                                        <a:ext uri="{28A0092B-C50C-407E-A947-70E740481C1C}">
                                          <a14:useLocalDpi xmlns:a14="http://schemas.microsoft.com/office/drawing/2010/main" val="0"/>
                                        </a:ext>
                                      </a:extLst>
                                    </a:blip>
                                    <a:stretch>
                                      <a:fillRect/>
                                    </a:stretch>
                                  </pic:blipFill>
                                  <pic:spPr>
                                    <a:xfrm>
                                      <a:off x="0" y="0"/>
                                      <a:ext cx="5485602" cy="831983"/>
                                    </a:xfrm>
                                    <a:prstGeom prst="rect">
                                      <a:avLst/>
                                    </a:prstGeom>
                                  </pic:spPr>
                                </pic:pic>
                              </a:graphicData>
                            </a:graphic>
                          </wp:inline>
                        </w:drawing>
                      </w:r>
                    </w:p>
                    <w:p w14:paraId="55965FD3" w14:textId="77777777" w:rsidR="009924D3" w:rsidRDefault="009924D3" w:rsidP="00A16E05">
                      <w:pPr>
                        <w:pStyle w:val="FootnoteText1"/>
                      </w:pPr>
                    </w:p>
                    <w:p w14:paraId="04E700BE" w14:textId="77777777" w:rsidR="009924D3" w:rsidRDefault="009924D3" w:rsidP="00A16E05">
                      <w:pPr>
                        <w:pStyle w:val="FootnoteText1"/>
                      </w:pPr>
                    </w:p>
                    <w:p w14:paraId="2D141965" w14:textId="77777777" w:rsidR="009924D3" w:rsidRDefault="009924D3" w:rsidP="00A16E05">
                      <w:pPr>
                        <w:pStyle w:val="FootnoteText1"/>
                      </w:pPr>
                    </w:p>
                    <w:p w14:paraId="771EFD26" w14:textId="77777777" w:rsidR="009924D3" w:rsidRDefault="009924D3" w:rsidP="00A16E05">
                      <w:pPr>
                        <w:pStyle w:val="FootnoteText1"/>
                      </w:pPr>
                    </w:p>
                    <w:p w14:paraId="7AE28340" w14:textId="77777777" w:rsidR="009924D3" w:rsidRDefault="009924D3" w:rsidP="00A16E05">
                      <w:pPr>
                        <w:pStyle w:val="FootnoteText1"/>
                      </w:pPr>
                    </w:p>
                    <w:p w14:paraId="5ED2368B" w14:textId="77777777" w:rsidR="009924D3" w:rsidRDefault="009924D3" w:rsidP="00A16E05">
                      <w:pPr>
                        <w:pStyle w:val="FootnoteText1"/>
                      </w:pPr>
                    </w:p>
                    <w:p w14:paraId="41835BEC" w14:textId="77777777" w:rsidR="009924D3" w:rsidRDefault="009924D3" w:rsidP="00A16E05">
                      <w:pPr>
                        <w:pStyle w:val="FootnoteText1"/>
                      </w:pPr>
                    </w:p>
                    <w:p w14:paraId="676A3603" w14:textId="77777777" w:rsidR="00697AEC" w:rsidRPr="00AB3BDD" w:rsidRDefault="00697AEC" w:rsidP="00A16E05">
                      <w:pPr>
                        <w:pStyle w:val="FootnoteText1"/>
                        <w:rPr>
                          <w:b/>
                          <w:bCs/>
                          <w:color w:val="024D7C" w:themeColor="accent1"/>
                          <w:sz w:val="16"/>
                          <w:szCs w:val="16"/>
                        </w:rPr>
                      </w:pPr>
                      <w:r w:rsidRPr="00AB3BDD">
                        <w:rPr>
                          <w:b/>
                          <w:bCs/>
                          <w:color w:val="024D7C" w:themeColor="accent1"/>
                          <w:sz w:val="16"/>
                          <w:szCs w:val="16"/>
                        </w:rPr>
                        <w:t>Caveat and Disclaimer</w:t>
                      </w:r>
                    </w:p>
                    <w:p w14:paraId="70A703A7" w14:textId="77777777" w:rsidR="00697AEC" w:rsidRDefault="00697AEC" w:rsidP="00A16E05">
                      <w:pPr>
                        <w:pStyle w:val="FootnoteText1"/>
                      </w:pPr>
                      <w:r w:rsidRPr="00F7380A">
                        <w:t xml:space="preserve">The opinions expressed and conclusions reached by the authors are their own and do not represent any official position or opinion of the Society of Actuaries </w:t>
                      </w:r>
                      <w:r w:rsidR="008D03EA">
                        <w:t xml:space="preserve">Research Institute, the </w:t>
                      </w:r>
                      <w:r w:rsidR="008D03EA" w:rsidRPr="00F7380A">
                        <w:t xml:space="preserve">Society of Actuaries </w:t>
                      </w:r>
                      <w:r w:rsidRPr="00F7380A">
                        <w:t xml:space="preserve">or its members. The Society of Actuaries </w:t>
                      </w:r>
                      <w:r w:rsidR="008D03EA">
                        <w:t>Research Institute</w:t>
                      </w:r>
                      <w:r w:rsidR="008D03EA" w:rsidRPr="00F7380A">
                        <w:t xml:space="preserve"> </w:t>
                      </w:r>
                      <w:r w:rsidRPr="00F7380A">
                        <w:t>makes no representation or warranty to the accuracy of the information</w:t>
                      </w:r>
                      <w:r>
                        <w:t>.</w:t>
                      </w:r>
                    </w:p>
                    <w:p w14:paraId="52441374" w14:textId="77777777" w:rsidR="00697AEC" w:rsidRDefault="00697AEC" w:rsidP="00A16E05">
                      <w:pPr>
                        <w:pStyle w:val="FootnoteText1"/>
                      </w:pPr>
                    </w:p>
                    <w:p w14:paraId="18AB37AA" w14:textId="7D7DC26D" w:rsidR="00697AEC" w:rsidRPr="00A61C8A" w:rsidRDefault="00697AEC" w:rsidP="00A16E05">
                      <w:pPr>
                        <w:pStyle w:val="FootnoteText1"/>
                      </w:pPr>
                      <w:r w:rsidRPr="00A61C8A">
                        <w:t>Copyright ©</w:t>
                      </w:r>
                      <w:r>
                        <w:t xml:space="preserve"> </w:t>
                      </w:r>
                      <w:r w:rsidR="00634B3F">
                        <w:t>2023</w:t>
                      </w:r>
                      <w:r w:rsidR="008E7C85" w:rsidRPr="00A61C8A">
                        <w:t xml:space="preserve"> </w:t>
                      </w:r>
                      <w:r w:rsidRPr="00A61C8A">
                        <w:t>by the</w:t>
                      </w:r>
                      <w:r w:rsidR="008D03EA" w:rsidRPr="008D03EA">
                        <w:t xml:space="preserve"> </w:t>
                      </w:r>
                      <w:r w:rsidR="008D03EA" w:rsidRPr="00F7380A">
                        <w:t xml:space="preserve">Society of Actuaries </w:t>
                      </w:r>
                      <w:r w:rsidR="008D03EA">
                        <w:t>Research Institute</w:t>
                      </w:r>
                      <w:r>
                        <w:t>.</w:t>
                      </w:r>
                      <w:r w:rsidRPr="00A61C8A">
                        <w:t xml:space="preserve"> </w:t>
                      </w:r>
                      <w:r>
                        <w:t>All rights reserved.</w:t>
                      </w:r>
                    </w:p>
                  </w:txbxContent>
                </v:textbox>
                <w10:wrap anchorx="margin" anchory="page"/>
              </v:shape>
            </w:pict>
          </mc:Fallback>
        </mc:AlternateContent>
      </w:r>
      <w:r w:rsidR="00AF1924">
        <w:rPr>
          <w:noProof/>
        </w:rPr>
        <w:br w:type="page"/>
      </w:r>
    </w:p>
    <w:p w14:paraId="76A6B31F" w14:textId="77777777" w:rsidR="00AF1924" w:rsidRDefault="00AF1924" w:rsidP="004733D4">
      <w:pPr>
        <w:rPr>
          <w:noProof/>
        </w:rPr>
      </w:pPr>
    </w:p>
    <w:sdt>
      <w:sdtPr>
        <w:rPr>
          <w:rFonts w:ascii="Calibri" w:eastAsiaTheme="minorEastAsia" w:hAnsi="Calibri"/>
          <w:b/>
          <w:caps w:val="0"/>
          <w:noProof/>
          <w:color w:val="auto"/>
          <w:sz w:val="22"/>
          <w:szCs w:val="22"/>
        </w:rPr>
        <w:id w:val="325260766"/>
        <w:docPartObj>
          <w:docPartGallery w:val="Table of Contents"/>
          <w:docPartUnique/>
        </w:docPartObj>
      </w:sdtPr>
      <w:sdtEndPr>
        <w:rPr>
          <w:sz w:val="18"/>
          <w:szCs w:val="18"/>
        </w:rPr>
      </w:sdtEndPr>
      <w:sdtContent>
        <w:p w14:paraId="7432B6A7" w14:textId="77777777" w:rsidR="006D7A08" w:rsidRPr="000F456E" w:rsidRDefault="006D7A08" w:rsidP="004733D4">
          <w:pPr>
            <w:pStyle w:val="TOCHeading"/>
          </w:pPr>
          <w:r w:rsidRPr="000F456E">
            <w:t>Contents</w:t>
          </w:r>
        </w:p>
        <w:p w14:paraId="4056906D" w14:textId="4E59AD6A" w:rsidR="00040DA2" w:rsidRDefault="006D7A08">
          <w:pPr>
            <w:pStyle w:val="TOC1"/>
            <w:rPr>
              <w:rFonts w:asciiTheme="minorHAnsi" w:hAnsiTheme="minorHAnsi" w:cstheme="minorBidi"/>
              <w:b w:val="0"/>
              <w:sz w:val="22"/>
              <w:szCs w:val="22"/>
            </w:rPr>
          </w:pPr>
          <w:r w:rsidRPr="003D58E5">
            <w:rPr>
              <w:sz w:val="20"/>
              <w:szCs w:val="20"/>
            </w:rPr>
            <w:fldChar w:fldCharType="begin"/>
          </w:r>
          <w:r w:rsidRPr="003D58E5">
            <w:rPr>
              <w:sz w:val="20"/>
              <w:szCs w:val="20"/>
            </w:rPr>
            <w:instrText xml:space="preserve"> TOC \o "1-3" \h \z \u </w:instrText>
          </w:r>
          <w:r w:rsidRPr="003D58E5">
            <w:rPr>
              <w:sz w:val="20"/>
              <w:szCs w:val="20"/>
            </w:rPr>
            <w:fldChar w:fldCharType="separate"/>
          </w:r>
          <w:hyperlink w:anchor="_Toc98504385" w:history="1">
            <w:r w:rsidR="00040DA2" w:rsidRPr="00FD3752">
              <w:rPr>
                <w:rStyle w:val="Hyperlink"/>
              </w:rPr>
              <w:t>Request for Data Contributions</w:t>
            </w:r>
            <w:r w:rsidR="00040DA2">
              <w:rPr>
                <w:webHidden/>
              </w:rPr>
              <w:tab/>
            </w:r>
            <w:r w:rsidR="00040DA2">
              <w:rPr>
                <w:webHidden/>
              </w:rPr>
              <w:fldChar w:fldCharType="begin"/>
            </w:r>
            <w:r w:rsidR="00040DA2">
              <w:rPr>
                <w:webHidden/>
              </w:rPr>
              <w:instrText xml:space="preserve"> PAGEREF _Toc98504385 \h </w:instrText>
            </w:r>
            <w:r w:rsidR="00040DA2">
              <w:rPr>
                <w:webHidden/>
              </w:rPr>
            </w:r>
            <w:r w:rsidR="00040DA2">
              <w:rPr>
                <w:webHidden/>
              </w:rPr>
              <w:fldChar w:fldCharType="separate"/>
            </w:r>
            <w:r w:rsidR="00040DA2">
              <w:rPr>
                <w:webHidden/>
              </w:rPr>
              <w:t>4</w:t>
            </w:r>
            <w:r w:rsidR="00040DA2">
              <w:rPr>
                <w:webHidden/>
              </w:rPr>
              <w:fldChar w:fldCharType="end"/>
            </w:r>
          </w:hyperlink>
        </w:p>
        <w:p w14:paraId="53EF6BA8" w14:textId="70965CDD" w:rsidR="00040DA2" w:rsidRDefault="00880690">
          <w:pPr>
            <w:pStyle w:val="TOC1"/>
            <w:rPr>
              <w:rFonts w:asciiTheme="minorHAnsi" w:hAnsiTheme="minorHAnsi" w:cstheme="minorBidi"/>
              <w:b w:val="0"/>
              <w:sz w:val="22"/>
              <w:szCs w:val="22"/>
            </w:rPr>
          </w:pPr>
          <w:hyperlink w:anchor="_Toc98504386" w:history="1">
            <w:r w:rsidR="00040DA2" w:rsidRPr="00FD3752">
              <w:rPr>
                <w:rStyle w:val="Hyperlink"/>
              </w:rPr>
              <w:t>Purpose of the Study</w:t>
            </w:r>
            <w:r w:rsidR="00040DA2">
              <w:rPr>
                <w:webHidden/>
              </w:rPr>
              <w:tab/>
            </w:r>
            <w:r w:rsidR="00040DA2">
              <w:rPr>
                <w:webHidden/>
              </w:rPr>
              <w:fldChar w:fldCharType="begin"/>
            </w:r>
            <w:r w:rsidR="00040DA2">
              <w:rPr>
                <w:webHidden/>
              </w:rPr>
              <w:instrText xml:space="preserve"> PAGEREF _Toc98504386 \h </w:instrText>
            </w:r>
            <w:r w:rsidR="00040DA2">
              <w:rPr>
                <w:webHidden/>
              </w:rPr>
            </w:r>
            <w:r w:rsidR="00040DA2">
              <w:rPr>
                <w:webHidden/>
              </w:rPr>
              <w:fldChar w:fldCharType="separate"/>
            </w:r>
            <w:r w:rsidR="00040DA2">
              <w:rPr>
                <w:webHidden/>
              </w:rPr>
              <w:t>4</w:t>
            </w:r>
            <w:r w:rsidR="00040DA2">
              <w:rPr>
                <w:webHidden/>
              </w:rPr>
              <w:fldChar w:fldCharType="end"/>
            </w:r>
          </w:hyperlink>
        </w:p>
        <w:p w14:paraId="2301DF81" w14:textId="2F392256" w:rsidR="00040DA2" w:rsidRDefault="00880690">
          <w:pPr>
            <w:pStyle w:val="TOC1"/>
            <w:rPr>
              <w:rFonts w:asciiTheme="minorHAnsi" w:hAnsiTheme="minorHAnsi" w:cstheme="minorBidi"/>
              <w:b w:val="0"/>
              <w:sz w:val="22"/>
              <w:szCs w:val="22"/>
            </w:rPr>
          </w:pPr>
          <w:hyperlink w:anchor="_Toc98504387" w:history="1">
            <w:r w:rsidR="00040DA2" w:rsidRPr="00FD3752">
              <w:rPr>
                <w:rStyle w:val="Hyperlink"/>
              </w:rPr>
              <w:t>Form of Data Contributions</w:t>
            </w:r>
            <w:r w:rsidR="00040DA2">
              <w:rPr>
                <w:webHidden/>
              </w:rPr>
              <w:tab/>
            </w:r>
            <w:r w:rsidR="00040DA2">
              <w:rPr>
                <w:webHidden/>
              </w:rPr>
              <w:fldChar w:fldCharType="begin"/>
            </w:r>
            <w:r w:rsidR="00040DA2">
              <w:rPr>
                <w:webHidden/>
              </w:rPr>
              <w:instrText xml:space="preserve"> PAGEREF _Toc98504387 \h </w:instrText>
            </w:r>
            <w:r w:rsidR="00040DA2">
              <w:rPr>
                <w:webHidden/>
              </w:rPr>
            </w:r>
            <w:r w:rsidR="00040DA2">
              <w:rPr>
                <w:webHidden/>
              </w:rPr>
              <w:fldChar w:fldCharType="separate"/>
            </w:r>
            <w:r w:rsidR="00040DA2">
              <w:rPr>
                <w:webHidden/>
              </w:rPr>
              <w:t>4</w:t>
            </w:r>
            <w:r w:rsidR="00040DA2">
              <w:rPr>
                <w:webHidden/>
              </w:rPr>
              <w:fldChar w:fldCharType="end"/>
            </w:r>
          </w:hyperlink>
        </w:p>
        <w:p w14:paraId="19E818AE" w14:textId="0045F316" w:rsidR="00040DA2" w:rsidRDefault="00880690">
          <w:pPr>
            <w:pStyle w:val="TOC1"/>
            <w:rPr>
              <w:rFonts w:asciiTheme="minorHAnsi" w:hAnsiTheme="minorHAnsi" w:cstheme="minorBidi"/>
              <w:b w:val="0"/>
              <w:sz w:val="22"/>
              <w:szCs w:val="22"/>
            </w:rPr>
          </w:pPr>
          <w:hyperlink w:anchor="_Toc98504388" w:history="1">
            <w:r w:rsidR="00040DA2" w:rsidRPr="00FD3752">
              <w:rPr>
                <w:rStyle w:val="Hyperlink"/>
              </w:rPr>
              <w:t>Important Dates</w:t>
            </w:r>
            <w:r w:rsidR="00040DA2">
              <w:rPr>
                <w:webHidden/>
              </w:rPr>
              <w:tab/>
            </w:r>
            <w:r w:rsidR="00040DA2">
              <w:rPr>
                <w:webHidden/>
              </w:rPr>
              <w:fldChar w:fldCharType="begin"/>
            </w:r>
            <w:r w:rsidR="00040DA2">
              <w:rPr>
                <w:webHidden/>
              </w:rPr>
              <w:instrText xml:space="preserve"> PAGEREF _Toc98504388 \h </w:instrText>
            </w:r>
            <w:r w:rsidR="00040DA2">
              <w:rPr>
                <w:webHidden/>
              </w:rPr>
            </w:r>
            <w:r w:rsidR="00040DA2">
              <w:rPr>
                <w:webHidden/>
              </w:rPr>
              <w:fldChar w:fldCharType="separate"/>
            </w:r>
            <w:r w:rsidR="00040DA2">
              <w:rPr>
                <w:webHidden/>
              </w:rPr>
              <w:t>4</w:t>
            </w:r>
            <w:r w:rsidR="00040DA2">
              <w:rPr>
                <w:webHidden/>
              </w:rPr>
              <w:fldChar w:fldCharType="end"/>
            </w:r>
          </w:hyperlink>
        </w:p>
        <w:p w14:paraId="78078341" w14:textId="1739875D" w:rsidR="00040DA2" w:rsidRDefault="00880690">
          <w:pPr>
            <w:pStyle w:val="TOC1"/>
            <w:rPr>
              <w:rFonts w:asciiTheme="minorHAnsi" w:hAnsiTheme="minorHAnsi" w:cstheme="minorBidi"/>
              <w:b w:val="0"/>
              <w:sz w:val="22"/>
              <w:szCs w:val="22"/>
            </w:rPr>
          </w:pPr>
          <w:hyperlink w:anchor="_Toc98504389" w:history="1">
            <w:r w:rsidR="00040DA2" w:rsidRPr="00FD3752">
              <w:rPr>
                <w:rStyle w:val="Hyperlink"/>
              </w:rPr>
              <w:t>Data Transmission Instructions</w:t>
            </w:r>
            <w:r w:rsidR="00040DA2">
              <w:rPr>
                <w:webHidden/>
              </w:rPr>
              <w:tab/>
            </w:r>
            <w:r w:rsidR="00040DA2">
              <w:rPr>
                <w:webHidden/>
              </w:rPr>
              <w:fldChar w:fldCharType="begin"/>
            </w:r>
            <w:r w:rsidR="00040DA2">
              <w:rPr>
                <w:webHidden/>
              </w:rPr>
              <w:instrText xml:space="preserve"> PAGEREF _Toc98504389 \h </w:instrText>
            </w:r>
            <w:r w:rsidR="00040DA2">
              <w:rPr>
                <w:webHidden/>
              </w:rPr>
            </w:r>
            <w:r w:rsidR="00040DA2">
              <w:rPr>
                <w:webHidden/>
              </w:rPr>
              <w:fldChar w:fldCharType="separate"/>
            </w:r>
            <w:r w:rsidR="00040DA2">
              <w:rPr>
                <w:webHidden/>
              </w:rPr>
              <w:t>5</w:t>
            </w:r>
            <w:r w:rsidR="00040DA2">
              <w:rPr>
                <w:webHidden/>
              </w:rPr>
              <w:fldChar w:fldCharType="end"/>
            </w:r>
          </w:hyperlink>
        </w:p>
        <w:p w14:paraId="53434FB8" w14:textId="09744854" w:rsidR="00040DA2" w:rsidRDefault="00880690">
          <w:pPr>
            <w:pStyle w:val="TOC1"/>
            <w:rPr>
              <w:rFonts w:asciiTheme="minorHAnsi" w:hAnsiTheme="minorHAnsi" w:cstheme="minorBidi"/>
              <w:b w:val="0"/>
              <w:sz w:val="22"/>
              <w:szCs w:val="22"/>
            </w:rPr>
          </w:pPr>
          <w:hyperlink w:anchor="_Toc98504390" w:history="1">
            <w:r w:rsidR="00040DA2" w:rsidRPr="00FD3752">
              <w:rPr>
                <w:rStyle w:val="Hyperlink"/>
              </w:rPr>
              <w:t>Study Outputs</w:t>
            </w:r>
            <w:r w:rsidR="00040DA2">
              <w:rPr>
                <w:webHidden/>
              </w:rPr>
              <w:tab/>
            </w:r>
            <w:r w:rsidR="00040DA2">
              <w:rPr>
                <w:webHidden/>
              </w:rPr>
              <w:fldChar w:fldCharType="begin"/>
            </w:r>
            <w:r w:rsidR="00040DA2">
              <w:rPr>
                <w:webHidden/>
              </w:rPr>
              <w:instrText xml:space="preserve"> PAGEREF _Toc98504390 \h </w:instrText>
            </w:r>
            <w:r w:rsidR="00040DA2">
              <w:rPr>
                <w:webHidden/>
              </w:rPr>
            </w:r>
            <w:r w:rsidR="00040DA2">
              <w:rPr>
                <w:webHidden/>
              </w:rPr>
              <w:fldChar w:fldCharType="separate"/>
            </w:r>
            <w:r w:rsidR="00040DA2">
              <w:rPr>
                <w:webHidden/>
              </w:rPr>
              <w:t>5</w:t>
            </w:r>
            <w:r w:rsidR="00040DA2">
              <w:rPr>
                <w:webHidden/>
              </w:rPr>
              <w:fldChar w:fldCharType="end"/>
            </w:r>
          </w:hyperlink>
        </w:p>
        <w:p w14:paraId="58563077" w14:textId="27D9B1F7" w:rsidR="00040DA2" w:rsidRDefault="00880690">
          <w:pPr>
            <w:pStyle w:val="TOC1"/>
            <w:rPr>
              <w:rFonts w:asciiTheme="minorHAnsi" w:hAnsiTheme="minorHAnsi" w:cstheme="minorBidi"/>
              <w:b w:val="0"/>
              <w:sz w:val="22"/>
              <w:szCs w:val="22"/>
            </w:rPr>
          </w:pPr>
          <w:hyperlink w:anchor="_Toc98504391" w:history="1">
            <w:r w:rsidR="00040DA2" w:rsidRPr="00FD3752">
              <w:rPr>
                <w:rStyle w:val="Hyperlink"/>
              </w:rPr>
              <w:t>Benefits to Data Contributors</w:t>
            </w:r>
            <w:r w:rsidR="00040DA2">
              <w:rPr>
                <w:webHidden/>
              </w:rPr>
              <w:tab/>
            </w:r>
            <w:r w:rsidR="00040DA2">
              <w:rPr>
                <w:webHidden/>
              </w:rPr>
              <w:fldChar w:fldCharType="begin"/>
            </w:r>
            <w:r w:rsidR="00040DA2">
              <w:rPr>
                <w:webHidden/>
              </w:rPr>
              <w:instrText xml:space="preserve"> PAGEREF _Toc98504391 \h </w:instrText>
            </w:r>
            <w:r w:rsidR="00040DA2">
              <w:rPr>
                <w:webHidden/>
              </w:rPr>
            </w:r>
            <w:r w:rsidR="00040DA2">
              <w:rPr>
                <w:webHidden/>
              </w:rPr>
              <w:fldChar w:fldCharType="separate"/>
            </w:r>
            <w:r w:rsidR="00040DA2">
              <w:rPr>
                <w:webHidden/>
              </w:rPr>
              <w:t>5</w:t>
            </w:r>
            <w:r w:rsidR="00040DA2">
              <w:rPr>
                <w:webHidden/>
              </w:rPr>
              <w:fldChar w:fldCharType="end"/>
            </w:r>
          </w:hyperlink>
        </w:p>
        <w:p w14:paraId="7D8E3146" w14:textId="2AB5AD51" w:rsidR="00040DA2" w:rsidRDefault="00880690">
          <w:pPr>
            <w:pStyle w:val="TOC1"/>
            <w:rPr>
              <w:rFonts w:asciiTheme="minorHAnsi" w:hAnsiTheme="minorHAnsi" w:cstheme="minorBidi"/>
              <w:b w:val="0"/>
              <w:sz w:val="22"/>
              <w:szCs w:val="22"/>
            </w:rPr>
          </w:pPr>
          <w:hyperlink w:anchor="_Toc98504392" w:history="1">
            <w:r w:rsidR="00040DA2" w:rsidRPr="00FD3752">
              <w:rPr>
                <w:rStyle w:val="Hyperlink"/>
              </w:rPr>
              <w:t>Data Access, Ownership and Retention</w:t>
            </w:r>
            <w:r w:rsidR="00040DA2">
              <w:rPr>
                <w:webHidden/>
              </w:rPr>
              <w:tab/>
            </w:r>
            <w:r w:rsidR="00040DA2">
              <w:rPr>
                <w:webHidden/>
              </w:rPr>
              <w:fldChar w:fldCharType="begin"/>
            </w:r>
            <w:r w:rsidR="00040DA2">
              <w:rPr>
                <w:webHidden/>
              </w:rPr>
              <w:instrText xml:space="preserve"> PAGEREF _Toc98504392 \h </w:instrText>
            </w:r>
            <w:r w:rsidR="00040DA2">
              <w:rPr>
                <w:webHidden/>
              </w:rPr>
            </w:r>
            <w:r w:rsidR="00040DA2">
              <w:rPr>
                <w:webHidden/>
              </w:rPr>
              <w:fldChar w:fldCharType="separate"/>
            </w:r>
            <w:r w:rsidR="00040DA2">
              <w:rPr>
                <w:webHidden/>
              </w:rPr>
              <w:t>5</w:t>
            </w:r>
            <w:r w:rsidR="00040DA2">
              <w:rPr>
                <w:webHidden/>
              </w:rPr>
              <w:fldChar w:fldCharType="end"/>
            </w:r>
          </w:hyperlink>
        </w:p>
        <w:p w14:paraId="530547C9" w14:textId="72BA8347" w:rsidR="00040DA2" w:rsidRDefault="00880690">
          <w:pPr>
            <w:pStyle w:val="TOC1"/>
            <w:rPr>
              <w:rFonts w:asciiTheme="minorHAnsi" w:hAnsiTheme="minorHAnsi" w:cstheme="minorBidi"/>
              <w:b w:val="0"/>
              <w:sz w:val="22"/>
              <w:szCs w:val="22"/>
            </w:rPr>
          </w:pPr>
          <w:hyperlink w:anchor="_Toc98504393" w:history="1">
            <w:r w:rsidR="00040DA2" w:rsidRPr="00FD3752">
              <w:rPr>
                <w:rStyle w:val="Hyperlink"/>
              </w:rPr>
              <w:t>APPENDIX A – Data Request Description</w:t>
            </w:r>
            <w:r w:rsidR="00040DA2">
              <w:rPr>
                <w:webHidden/>
              </w:rPr>
              <w:tab/>
            </w:r>
            <w:r w:rsidR="00040DA2">
              <w:rPr>
                <w:webHidden/>
              </w:rPr>
              <w:fldChar w:fldCharType="begin"/>
            </w:r>
            <w:r w:rsidR="00040DA2">
              <w:rPr>
                <w:webHidden/>
              </w:rPr>
              <w:instrText xml:space="preserve"> PAGEREF _Toc98504393 \h </w:instrText>
            </w:r>
            <w:r w:rsidR="00040DA2">
              <w:rPr>
                <w:webHidden/>
              </w:rPr>
            </w:r>
            <w:r w:rsidR="00040DA2">
              <w:rPr>
                <w:webHidden/>
              </w:rPr>
              <w:fldChar w:fldCharType="separate"/>
            </w:r>
            <w:r w:rsidR="00040DA2">
              <w:rPr>
                <w:webHidden/>
              </w:rPr>
              <w:t>7</w:t>
            </w:r>
            <w:r w:rsidR="00040DA2">
              <w:rPr>
                <w:webHidden/>
              </w:rPr>
              <w:fldChar w:fldCharType="end"/>
            </w:r>
          </w:hyperlink>
        </w:p>
        <w:p w14:paraId="0C9FBF84" w14:textId="5C228734" w:rsidR="00040DA2" w:rsidRDefault="00880690">
          <w:pPr>
            <w:pStyle w:val="TOC1"/>
            <w:rPr>
              <w:rFonts w:asciiTheme="minorHAnsi" w:hAnsiTheme="minorHAnsi" w:cstheme="minorBidi"/>
              <w:b w:val="0"/>
              <w:sz w:val="22"/>
              <w:szCs w:val="22"/>
            </w:rPr>
          </w:pPr>
          <w:hyperlink w:anchor="_Toc98504394" w:history="1">
            <w:r w:rsidR="00040DA2" w:rsidRPr="00FD3752">
              <w:rPr>
                <w:rStyle w:val="Hyperlink"/>
              </w:rPr>
              <w:t>APPENDIX B – Data Request Layout</w:t>
            </w:r>
            <w:r w:rsidR="00040DA2">
              <w:rPr>
                <w:webHidden/>
              </w:rPr>
              <w:tab/>
            </w:r>
            <w:r w:rsidR="00040DA2">
              <w:rPr>
                <w:webHidden/>
              </w:rPr>
              <w:fldChar w:fldCharType="begin"/>
            </w:r>
            <w:r w:rsidR="00040DA2">
              <w:rPr>
                <w:webHidden/>
              </w:rPr>
              <w:instrText xml:space="preserve"> PAGEREF _Toc98504394 \h </w:instrText>
            </w:r>
            <w:r w:rsidR="00040DA2">
              <w:rPr>
                <w:webHidden/>
              </w:rPr>
            </w:r>
            <w:r w:rsidR="00040DA2">
              <w:rPr>
                <w:webHidden/>
              </w:rPr>
              <w:fldChar w:fldCharType="separate"/>
            </w:r>
            <w:r w:rsidR="00040DA2">
              <w:rPr>
                <w:webHidden/>
              </w:rPr>
              <w:t>10</w:t>
            </w:r>
            <w:r w:rsidR="00040DA2">
              <w:rPr>
                <w:webHidden/>
              </w:rPr>
              <w:fldChar w:fldCharType="end"/>
            </w:r>
          </w:hyperlink>
        </w:p>
        <w:p w14:paraId="6782E818" w14:textId="7E237D81" w:rsidR="00040DA2" w:rsidRDefault="00880690">
          <w:pPr>
            <w:pStyle w:val="TOC1"/>
            <w:rPr>
              <w:rFonts w:asciiTheme="minorHAnsi" w:hAnsiTheme="minorHAnsi" w:cstheme="minorBidi"/>
              <w:b w:val="0"/>
              <w:sz w:val="22"/>
              <w:szCs w:val="22"/>
            </w:rPr>
          </w:pPr>
          <w:hyperlink w:anchor="_Toc98504395" w:history="1">
            <w:r w:rsidR="00040DA2" w:rsidRPr="00FD3752">
              <w:rPr>
                <w:rStyle w:val="Hyperlink"/>
              </w:rPr>
              <w:t>APPENDIX C – Data Request Layout</w:t>
            </w:r>
            <w:r w:rsidR="00040DA2">
              <w:rPr>
                <w:webHidden/>
              </w:rPr>
              <w:tab/>
            </w:r>
            <w:r w:rsidR="00040DA2">
              <w:rPr>
                <w:webHidden/>
              </w:rPr>
              <w:fldChar w:fldCharType="begin"/>
            </w:r>
            <w:r w:rsidR="00040DA2">
              <w:rPr>
                <w:webHidden/>
              </w:rPr>
              <w:instrText xml:space="preserve"> PAGEREF _Toc98504395 \h </w:instrText>
            </w:r>
            <w:r w:rsidR="00040DA2">
              <w:rPr>
                <w:webHidden/>
              </w:rPr>
            </w:r>
            <w:r w:rsidR="00040DA2">
              <w:rPr>
                <w:webHidden/>
              </w:rPr>
              <w:fldChar w:fldCharType="separate"/>
            </w:r>
            <w:r w:rsidR="00040DA2">
              <w:rPr>
                <w:webHidden/>
              </w:rPr>
              <w:t>12</w:t>
            </w:r>
            <w:r w:rsidR="00040DA2">
              <w:rPr>
                <w:webHidden/>
              </w:rPr>
              <w:fldChar w:fldCharType="end"/>
            </w:r>
          </w:hyperlink>
        </w:p>
        <w:p w14:paraId="240EC2F4" w14:textId="12B5B7EB" w:rsidR="00040DA2" w:rsidRDefault="00880690">
          <w:pPr>
            <w:pStyle w:val="TOC1"/>
            <w:rPr>
              <w:rFonts w:asciiTheme="minorHAnsi" w:hAnsiTheme="minorHAnsi" w:cstheme="minorBidi"/>
              <w:b w:val="0"/>
              <w:sz w:val="22"/>
              <w:szCs w:val="22"/>
            </w:rPr>
          </w:pPr>
          <w:hyperlink w:anchor="_Toc98504396" w:history="1">
            <w:r w:rsidR="00040DA2" w:rsidRPr="00FD3752">
              <w:rPr>
                <w:rStyle w:val="Hyperlink"/>
              </w:rPr>
              <w:t>About The Society of Actuaries Research Institute</w:t>
            </w:r>
            <w:r w:rsidR="00040DA2">
              <w:rPr>
                <w:webHidden/>
              </w:rPr>
              <w:tab/>
            </w:r>
            <w:r w:rsidR="00040DA2">
              <w:rPr>
                <w:webHidden/>
              </w:rPr>
              <w:fldChar w:fldCharType="begin"/>
            </w:r>
            <w:r w:rsidR="00040DA2">
              <w:rPr>
                <w:webHidden/>
              </w:rPr>
              <w:instrText xml:space="preserve"> PAGEREF _Toc98504396 \h </w:instrText>
            </w:r>
            <w:r w:rsidR="00040DA2">
              <w:rPr>
                <w:webHidden/>
              </w:rPr>
            </w:r>
            <w:r w:rsidR="00040DA2">
              <w:rPr>
                <w:webHidden/>
              </w:rPr>
              <w:fldChar w:fldCharType="separate"/>
            </w:r>
            <w:r w:rsidR="00040DA2">
              <w:rPr>
                <w:webHidden/>
              </w:rPr>
              <w:t>15</w:t>
            </w:r>
            <w:r w:rsidR="00040DA2">
              <w:rPr>
                <w:webHidden/>
              </w:rPr>
              <w:fldChar w:fldCharType="end"/>
            </w:r>
          </w:hyperlink>
        </w:p>
        <w:p w14:paraId="6559C322" w14:textId="08677B59" w:rsidR="00040DA2" w:rsidRDefault="00880690">
          <w:pPr>
            <w:pStyle w:val="TOC1"/>
            <w:rPr>
              <w:rFonts w:asciiTheme="minorHAnsi" w:hAnsiTheme="minorHAnsi" w:cstheme="minorBidi"/>
              <w:b w:val="0"/>
              <w:sz w:val="22"/>
              <w:szCs w:val="22"/>
            </w:rPr>
          </w:pPr>
          <w:hyperlink w:anchor="_Toc98504397" w:history="1">
            <w:r w:rsidR="00040DA2" w:rsidRPr="00FD3752">
              <w:rPr>
                <w:rStyle w:val="Hyperlink"/>
              </w:rPr>
              <w:t>About LIMRA</w:t>
            </w:r>
            <w:r w:rsidR="00040DA2">
              <w:rPr>
                <w:webHidden/>
              </w:rPr>
              <w:tab/>
            </w:r>
            <w:r w:rsidR="00040DA2">
              <w:rPr>
                <w:webHidden/>
              </w:rPr>
              <w:fldChar w:fldCharType="begin"/>
            </w:r>
            <w:r w:rsidR="00040DA2">
              <w:rPr>
                <w:webHidden/>
              </w:rPr>
              <w:instrText xml:space="preserve"> PAGEREF _Toc98504397 \h </w:instrText>
            </w:r>
            <w:r w:rsidR="00040DA2">
              <w:rPr>
                <w:webHidden/>
              </w:rPr>
            </w:r>
            <w:r w:rsidR="00040DA2">
              <w:rPr>
                <w:webHidden/>
              </w:rPr>
              <w:fldChar w:fldCharType="separate"/>
            </w:r>
            <w:r w:rsidR="00040DA2">
              <w:rPr>
                <w:webHidden/>
              </w:rPr>
              <w:t>16</w:t>
            </w:r>
            <w:r w:rsidR="00040DA2">
              <w:rPr>
                <w:webHidden/>
              </w:rPr>
              <w:fldChar w:fldCharType="end"/>
            </w:r>
          </w:hyperlink>
        </w:p>
        <w:p w14:paraId="16B7F9FF" w14:textId="3F9FEDE8" w:rsidR="006D7A08" w:rsidRPr="003646C1" w:rsidRDefault="006D7A08" w:rsidP="003646C1">
          <w:pPr>
            <w:pStyle w:val="TOC1"/>
            <w:rPr>
              <w:rFonts w:cstheme="minorBidi"/>
              <w:caps/>
            </w:rPr>
          </w:pPr>
          <w:r w:rsidRPr="003D58E5">
            <w:fldChar w:fldCharType="end"/>
          </w:r>
        </w:p>
      </w:sdtContent>
    </w:sdt>
    <w:p w14:paraId="2AFE66E8" w14:textId="77777777" w:rsidR="000F4EFE" w:rsidRDefault="000F4EFE" w:rsidP="004733D4">
      <w:r>
        <w:br w:type="page"/>
      </w:r>
    </w:p>
    <w:p w14:paraId="7CBE9FC1" w14:textId="77777777" w:rsidR="00621F8F" w:rsidRDefault="00621F8F" w:rsidP="004733D4">
      <w:pPr>
        <w:sectPr w:rsidR="00621F8F" w:rsidSect="00540ABC">
          <w:type w:val="continuous"/>
          <w:pgSz w:w="12240" w:h="15840"/>
          <w:pgMar w:top="1440" w:right="1800" w:bottom="1440" w:left="1800" w:header="720" w:footer="518" w:gutter="0"/>
          <w:cols w:space="720"/>
          <w:docGrid w:linePitch="360"/>
        </w:sectPr>
      </w:pPr>
    </w:p>
    <w:p w14:paraId="05887AF4" w14:textId="15AFD350" w:rsidR="007F2E38" w:rsidRPr="00D61102" w:rsidRDefault="00634B3F" w:rsidP="000233AF">
      <w:r w:rsidRPr="00634B3F">
        <w:rPr>
          <w:rFonts w:asciiTheme="minorHAnsi" w:hAnsiTheme="minorHAnsi"/>
          <w:color w:val="024D7C" w:themeColor="accent1"/>
          <w:sz w:val="50"/>
          <w:szCs w:val="50"/>
        </w:rPr>
        <w:lastRenderedPageBreak/>
        <w:t xml:space="preserve">2013-2021 Group Term Life </w:t>
      </w:r>
      <w:r w:rsidR="00D90480">
        <w:rPr>
          <w:rFonts w:asciiTheme="minorHAnsi" w:hAnsiTheme="minorHAnsi"/>
          <w:color w:val="024D7C" w:themeColor="accent1"/>
          <w:sz w:val="50"/>
          <w:szCs w:val="50"/>
        </w:rPr>
        <w:t>Experience</w:t>
      </w:r>
      <w:r w:rsidRPr="00634B3F">
        <w:rPr>
          <w:rFonts w:asciiTheme="minorHAnsi" w:hAnsiTheme="minorHAnsi"/>
          <w:color w:val="024D7C" w:themeColor="accent1"/>
          <w:sz w:val="50"/>
          <w:szCs w:val="50"/>
        </w:rPr>
        <w:t xml:space="preserve"> Study Data Request</w:t>
      </w:r>
    </w:p>
    <w:p w14:paraId="3C349E53" w14:textId="77777777" w:rsidR="00373757" w:rsidRDefault="00373757" w:rsidP="00040DA2">
      <w:pPr>
        <w:pStyle w:val="Heading1"/>
        <w:spacing w:before="240"/>
      </w:pPr>
      <w:bookmarkStart w:id="0" w:name="_Toc98504385"/>
      <w:r w:rsidRPr="00373757">
        <w:t>Request for Data Contributions</w:t>
      </w:r>
      <w:bookmarkEnd w:id="0"/>
      <w:r w:rsidRPr="00373757">
        <w:t xml:space="preserve"> </w:t>
      </w:r>
    </w:p>
    <w:p w14:paraId="1BA52951" w14:textId="3FD3ED6A" w:rsidR="00373757" w:rsidRDefault="00634B3F" w:rsidP="00532FC8">
      <w:pPr>
        <w:pStyle w:val="Bodynormal"/>
        <w:rPr>
          <w:rFonts w:ascii="Calibri" w:hAnsi="Calibri"/>
          <w:color w:val="024D7C"/>
          <w:sz w:val="28"/>
          <w:szCs w:val="26"/>
        </w:rPr>
      </w:pPr>
      <w:r w:rsidRPr="00634B3F">
        <w:t>The Society of Actuaries (SOA), through its Group Life Experience Committee (</w:t>
      </w:r>
      <w:r w:rsidR="00FE2C2D">
        <w:t xml:space="preserve">GLEC or </w:t>
      </w:r>
      <w:r w:rsidRPr="00634B3F">
        <w:t>the Committee), is issuing this data call to solicit information on group life and accidental death and dismemberment (AD&amp;D) experience for 20</w:t>
      </w:r>
      <w:r>
        <w:t>13</w:t>
      </w:r>
      <w:r w:rsidRPr="00634B3F">
        <w:t xml:space="preserve"> through 20</w:t>
      </w:r>
      <w:r>
        <w:t>21</w:t>
      </w:r>
      <w:r w:rsidRPr="00634B3F">
        <w:t xml:space="preserve">. The previous study, covering experience from </w:t>
      </w:r>
      <w:r>
        <w:t>2010</w:t>
      </w:r>
      <w:r w:rsidRPr="00634B3F">
        <w:t xml:space="preserve"> through </w:t>
      </w:r>
      <w:r>
        <w:t>2013</w:t>
      </w:r>
      <w:r w:rsidRPr="00634B3F">
        <w:t xml:space="preserve">, was published in </w:t>
      </w:r>
      <w:r>
        <w:t>2016</w:t>
      </w:r>
      <w:r w:rsidRPr="00634B3F">
        <w:t>.</w:t>
      </w:r>
    </w:p>
    <w:p w14:paraId="7DF68055" w14:textId="296826CC" w:rsidR="00373757" w:rsidRDefault="00373757" w:rsidP="00040DA2">
      <w:pPr>
        <w:pStyle w:val="Heading1"/>
        <w:spacing w:before="240"/>
      </w:pPr>
      <w:bookmarkStart w:id="1" w:name="_Toc98504386"/>
      <w:r w:rsidRPr="00373757">
        <w:t>Purpose of the Study</w:t>
      </w:r>
      <w:bookmarkEnd w:id="1"/>
    </w:p>
    <w:p w14:paraId="7EE7917B" w14:textId="2D8F830C" w:rsidR="00373757" w:rsidRPr="00373757" w:rsidRDefault="00373757" w:rsidP="00373B46">
      <w:r w:rsidRPr="00373757">
        <w:t xml:space="preserve">The SOA </w:t>
      </w:r>
      <w:r w:rsidR="00111DA2" w:rsidRPr="00373757">
        <w:t xml:space="preserve">Research Institute </w:t>
      </w:r>
      <w:r w:rsidRPr="00373757">
        <w:t>and LIMRA are partnering together to complete industry experience studies.  Under this partnership, the SOA</w:t>
      </w:r>
      <w:r w:rsidR="00111DA2">
        <w:t xml:space="preserve"> </w:t>
      </w:r>
      <w:r w:rsidR="00111DA2" w:rsidRPr="00373757">
        <w:t>Research Institute</w:t>
      </w:r>
      <w:r w:rsidRPr="00373757">
        <w:t xml:space="preserve">’s </w:t>
      </w:r>
      <w:r w:rsidR="00FE2C2D">
        <w:t>GLEC</w:t>
      </w:r>
      <w:r w:rsidRPr="00373757">
        <w:t xml:space="preserve"> and LIMRA plan to complete an update to the </w:t>
      </w:r>
      <w:r w:rsidR="00FE2C2D">
        <w:t>2010-2013</w:t>
      </w:r>
      <w:r w:rsidR="00FE2C2D" w:rsidRPr="00FE2C2D">
        <w:t xml:space="preserve"> Group Term Life </w:t>
      </w:r>
      <w:r w:rsidR="00437328">
        <w:t xml:space="preserve">Experience </w:t>
      </w:r>
      <w:r w:rsidR="00FE2C2D" w:rsidRPr="00FE2C2D">
        <w:t xml:space="preserve">Study </w:t>
      </w:r>
      <w:r w:rsidRPr="00373757">
        <w:t>previously completed in 201</w:t>
      </w:r>
      <w:r w:rsidR="00FE2C2D">
        <w:t>6</w:t>
      </w:r>
      <w:r w:rsidRPr="00373757">
        <w:t xml:space="preserve">. </w:t>
      </w:r>
      <w:r w:rsidR="00A93FF7">
        <w:t xml:space="preserve">This study will include only list-billed experience, but the Committee may undertake a future study to analyze experience for self-administered policies. </w:t>
      </w:r>
      <w:r w:rsidRPr="00373757">
        <w:t>The goals of this update are to:</w:t>
      </w:r>
    </w:p>
    <w:p w14:paraId="6C3A728E" w14:textId="474EB7B9" w:rsidR="00D90480" w:rsidRDefault="00373757" w:rsidP="00D90480">
      <w:pPr>
        <w:pStyle w:val="Listbullets"/>
        <w:numPr>
          <w:ilvl w:val="0"/>
          <w:numId w:val="23"/>
        </w:numPr>
        <w:tabs>
          <w:tab w:val="num" w:pos="360"/>
        </w:tabs>
      </w:pPr>
      <w:r w:rsidRPr="00373757">
        <w:t>compare 201</w:t>
      </w:r>
      <w:r w:rsidR="00FE2C2D">
        <w:t>3</w:t>
      </w:r>
      <w:r w:rsidRPr="00373757">
        <w:t>-20</w:t>
      </w:r>
      <w:r w:rsidR="00FE2C2D">
        <w:t>21</w:t>
      </w:r>
      <w:r w:rsidRPr="00373757">
        <w:t xml:space="preserve"> </w:t>
      </w:r>
      <w:r w:rsidR="00FE2C2D">
        <w:t>group life</w:t>
      </w:r>
      <w:r w:rsidRPr="00373757">
        <w:t xml:space="preserve"> mortality experience</w:t>
      </w:r>
      <w:r w:rsidR="00D90480">
        <w:t xml:space="preserve"> and waiver incidence</w:t>
      </w:r>
      <w:r w:rsidRPr="00373757">
        <w:t xml:space="preserve"> with the prior experience from the </w:t>
      </w:r>
      <w:r w:rsidR="00FE2C2D">
        <w:t>2010-2013</w:t>
      </w:r>
      <w:r w:rsidRPr="00373757">
        <w:t xml:space="preserve"> study; </w:t>
      </w:r>
      <w:bookmarkStart w:id="2" w:name="_Toc9326724"/>
    </w:p>
    <w:p w14:paraId="1F976313" w14:textId="0B9B0197" w:rsidR="00D90480" w:rsidRDefault="00D90480" w:rsidP="00D90480">
      <w:pPr>
        <w:pStyle w:val="Listbullets"/>
        <w:numPr>
          <w:ilvl w:val="0"/>
          <w:numId w:val="23"/>
        </w:numPr>
        <w:tabs>
          <w:tab w:val="num" w:pos="360"/>
        </w:tabs>
      </w:pPr>
      <w:r>
        <w:t>analyze trends in group life mortality experience by various splits, including industry, geography, case size, face amount, age and sex, and product type</w:t>
      </w:r>
      <w:r w:rsidR="007B25E5">
        <w:t>;</w:t>
      </w:r>
      <w:r>
        <w:t xml:space="preserve"> </w:t>
      </w:r>
    </w:p>
    <w:p w14:paraId="7BFA6C2D" w14:textId="30ACCF15" w:rsidR="001F11E6" w:rsidRDefault="00A93FF7" w:rsidP="001F11E6">
      <w:pPr>
        <w:pStyle w:val="Listbullets"/>
        <w:numPr>
          <w:ilvl w:val="0"/>
          <w:numId w:val="23"/>
        </w:numPr>
        <w:tabs>
          <w:tab w:val="num" w:pos="360"/>
        </w:tabs>
      </w:pPr>
      <w:r>
        <w:t>investigate patterns in group life mortality experience by cause of death groupings, which is a new dimension of analysis for this iteration of the study</w:t>
      </w:r>
      <w:r w:rsidR="007B25E5">
        <w:t>;</w:t>
      </w:r>
    </w:p>
    <w:p w14:paraId="6676F03D" w14:textId="24B9EF92" w:rsidR="00FD064E" w:rsidRPr="00373757" w:rsidRDefault="00FD064E" w:rsidP="001F11E6">
      <w:pPr>
        <w:pStyle w:val="Listbullets"/>
        <w:numPr>
          <w:ilvl w:val="0"/>
          <w:numId w:val="23"/>
        </w:numPr>
        <w:tabs>
          <w:tab w:val="num" w:pos="360"/>
        </w:tabs>
      </w:pPr>
      <w:r>
        <w:t>provide insight into mortality patterns during the COVID-19 pandemic period</w:t>
      </w:r>
      <w:r w:rsidR="007B25E5">
        <w:t>.</w:t>
      </w:r>
    </w:p>
    <w:p w14:paraId="3B9F3959" w14:textId="77777777" w:rsidR="00373757" w:rsidRDefault="00373757" w:rsidP="00040DA2">
      <w:pPr>
        <w:pStyle w:val="Heading1"/>
        <w:spacing w:before="240"/>
      </w:pPr>
      <w:bookmarkStart w:id="3" w:name="_Toc98504387"/>
      <w:bookmarkEnd w:id="2"/>
      <w:r w:rsidRPr="00373757">
        <w:t>Form of Data Contributions</w:t>
      </w:r>
      <w:bookmarkEnd w:id="3"/>
    </w:p>
    <w:p w14:paraId="261E043C" w14:textId="4CF10C0A" w:rsidR="00373757" w:rsidRPr="00373757" w:rsidRDefault="00373757" w:rsidP="00373B46">
      <w:r w:rsidRPr="00373757">
        <w:t xml:space="preserve">A </w:t>
      </w:r>
      <w:r w:rsidR="0096106B">
        <w:t xml:space="preserve">description of the data request can be found in Appendix A, which will include references to attachments with detailed explanations of data elements being requested. </w:t>
      </w:r>
      <w:r w:rsidRPr="00373757">
        <w:t>Data can be submitted in one of the following file formats, which must use the ASCII character set:</w:t>
      </w:r>
    </w:p>
    <w:p w14:paraId="04CB5067" w14:textId="6ADB439F" w:rsidR="007234B0" w:rsidRDefault="007234B0" w:rsidP="007F2E38">
      <w:pPr>
        <w:pStyle w:val="Listbullets"/>
        <w:numPr>
          <w:ilvl w:val="0"/>
          <w:numId w:val="23"/>
        </w:numPr>
        <w:tabs>
          <w:tab w:val="num" w:pos="360"/>
        </w:tabs>
      </w:pPr>
      <w:r>
        <w:t>Microsoft Excel workbook</w:t>
      </w:r>
      <w:r w:rsidR="007B25E5">
        <w:t>;</w:t>
      </w:r>
    </w:p>
    <w:p w14:paraId="26D03820" w14:textId="695A3629" w:rsidR="007234B0" w:rsidRDefault="007234B0" w:rsidP="007F2E38">
      <w:pPr>
        <w:pStyle w:val="Listbullets"/>
        <w:numPr>
          <w:ilvl w:val="0"/>
          <w:numId w:val="23"/>
        </w:numPr>
        <w:tabs>
          <w:tab w:val="num" w:pos="360"/>
        </w:tabs>
      </w:pPr>
      <w:r>
        <w:t>Comma-separated values (.csv) file</w:t>
      </w:r>
      <w:r w:rsidR="007B25E5">
        <w:t>;</w:t>
      </w:r>
    </w:p>
    <w:p w14:paraId="68953109" w14:textId="311AEDF3" w:rsidR="00373757" w:rsidRPr="00373757" w:rsidRDefault="00373757" w:rsidP="007F2E38">
      <w:pPr>
        <w:pStyle w:val="Listbullets"/>
        <w:numPr>
          <w:ilvl w:val="0"/>
          <w:numId w:val="23"/>
        </w:numPr>
        <w:tabs>
          <w:tab w:val="num" w:pos="360"/>
        </w:tabs>
      </w:pPr>
      <w:r w:rsidRPr="00373757">
        <w:t>Fixed width Text (.txt) using specified columns to denote data elements</w:t>
      </w:r>
      <w:r w:rsidR="007B25E5">
        <w:t>;</w:t>
      </w:r>
    </w:p>
    <w:p w14:paraId="6AA24194" w14:textId="6016EACC" w:rsidR="007F2E38" w:rsidRPr="00373757" w:rsidRDefault="00373757" w:rsidP="007234B0">
      <w:pPr>
        <w:pStyle w:val="Listbullets"/>
        <w:numPr>
          <w:ilvl w:val="0"/>
          <w:numId w:val="23"/>
        </w:numPr>
        <w:tabs>
          <w:tab w:val="num" w:pos="360"/>
        </w:tabs>
      </w:pPr>
      <w:r w:rsidRPr="00373757">
        <w:t>For formats that do not match the enclosed format specifications, column headings and/or attached mapping instructions are required.</w:t>
      </w:r>
    </w:p>
    <w:p w14:paraId="6328BDF9" w14:textId="77777777" w:rsidR="00373757" w:rsidRDefault="00373757" w:rsidP="00040DA2">
      <w:pPr>
        <w:pStyle w:val="Heading1"/>
        <w:spacing w:before="240"/>
      </w:pPr>
      <w:bookmarkStart w:id="4" w:name="_Toc98504388"/>
      <w:r w:rsidRPr="00373757">
        <w:t>Important Dates</w:t>
      </w:r>
      <w:bookmarkEnd w:id="4"/>
    </w:p>
    <w:p w14:paraId="6BF16C88" w14:textId="0ED0DDDC" w:rsidR="00373757" w:rsidRDefault="00373757" w:rsidP="00532FC8">
      <w:pPr>
        <w:pStyle w:val="Bodynormal"/>
      </w:pPr>
      <w:r w:rsidRPr="00373757">
        <w:t xml:space="preserve">Your timely voluntary data submission is a valuable contribution to this Study. We request your data, as described in the following section, no later than </w:t>
      </w:r>
      <w:r w:rsidR="007234B0">
        <w:t>June 30, 2023</w:t>
      </w:r>
      <w:r w:rsidRPr="00373757">
        <w:t xml:space="preserve">. If you would like to contribute, but find that this timing is challenging, please contact </w:t>
      </w:r>
      <w:r w:rsidR="007234B0">
        <w:t>Erika Schulty</w:t>
      </w:r>
      <w:r w:rsidRPr="00373757">
        <w:t xml:space="preserve"> (</w:t>
      </w:r>
      <w:r w:rsidR="007234B0">
        <w:t>eschulty</w:t>
      </w:r>
      <w:r w:rsidRPr="00373757">
        <w:t xml:space="preserve">@soa.org). In addition, please reply to </w:t>
      </w:r>
      <w:r w:rsidR="007234B0">
        <w:t>Erika</w:t>
      </w:r>
      <w:r w:rsidRPr="00373757">
        <w:t xml:space="preserve"> with your decision to supply data for this study by </w:t>
      </w:r>
      <w:r w:rsidR="00987653">
        <w:t>March 31, 2023</w:t>
      </w:r>
      <w:r w:rsidR="00855717">
        <w:t>, if you have not done so already</w:t>
      </w:r>
      <w:r w:rsidRPr="00373757">
        <w:t xml:space="preserve">. Once your company’s intent to participate has been received, </w:t>
      </w:r>
      <w:r w:rsidR="007234B0">
        <w:t>Erika</w:t>
      </w:r>
      <w:r w:rsidRPr="00373757">
        <w:t xml:space="preserve"> will send you a confidential company ID code.</w:t>
      </w:r>
    </w:p>
    <w:p w14:paraId="00C2789E" w14:textId="77777777" w:rsidR="00373757" w:rsidRDefault="00373757" w:rsidP="00373757">
      <w:pPr>
        <w:pStyle w:val="Heading1"/>
        <w:spacing w:before="240"/>
      </w:pPr>
      <w:bookmarkStart w:id="5" w:name="_Toc79583071"/>
      <w:bookmarkStart w:id="6" w:name="_Toc98504389"/>
      <w:r>
        <w:lastRenderedPageBreak/>
        <w:t>Data Transmission Instructions</w:t>
      </w:r>
      <w:bookmarkEnd w:id="5"/>
      <w:bookmarkEnd w:id="6"/>
    </w:p>
    <w:p w14:paraId="33AA2A44" w14:textId="50867ED1" w:rsidR="00373757" w:rsidRDefault="00373757" w:rsidP="00373757">
      <w:pPr>
        <w:pStyle w:val="Bodynormal"/>
      </w:pPr>
      <w:r w:rsidRPr="00373757">
        <w:t xml:space="preserve">The </w:t>
      </w:r>
      <w:r w:rsidR="00111DA2" w:rsidRPr="002E0CF0">
        <w:rPr>
          <w:rFonts w:asciiTheme="minorHAnsi" w:hAnsiTheme="minorHAnsi" w:cstheme="minorHAnsi"/>
          <w:szCs w:val="20"/>
        </w:rPr>
        <w:t xml:space="preserve">SOA </w:t>
      </w:r>
      <w:r w:rsidR="00111DA2" w:rsidRPr="001C58AD">
        <w:rPr>
          <w:rFonts w:asciiTheme="minorHAnsi" w:hAnsiTheme="minorHAnsi"/>
          <w:szCs w:val="20"/>
        </w:rPr>
        <w:t>Research Institute</w:t>
      </w:r>
      <w:r w:rsidR="00111DA2" w:rsidRPr="002E0CF0">
        <w:rPr>
          <w:rFonts w:asciiTheme="minorHAnsi" w:hAnsiTheme="minorHAnsi" w:cstheme="minorHAnsi"/>
          <w:szCs w:val="20"/>
        </w:rPr>
        <w:t xml:space="preserve"> </w:t>
      </w:r>
      <w:r w:rsidR="00111DA2">
        <w:rPr>
          <w:rFonts w:asciiTheme="minorHAnsi" w:hAnsiTheme="minorHAnsi" w:cstheme="minorHAnsi"/>
          <w:szCs w:val="20"/>
        </w:rPr>
        <w:t>and LIMRA have</w:t>
      </w:r>
      <w:r w:rsidR="00111DA2" w:rsidRPr="002E0CF0">
        <w:rPr>
          <w:rFonts w:asciiTheme="minorHAnsi" w:hAnsiTheme="minorHAnsi" w:cstheme="minorHAnsi"/>
          <w:szCs w:val="20"/>
        </w:rPr>
        <w:t xml:space="preserve"> partnered</w:t>
      </w:r>
      <w:r w:rsidR="00111DA2" w:rsidRPr="00627039" w:rsidDel="00375FAD">
        <w:t xml:space="preserve"> </w:t>
      </w:r>
      <w:r w:rsidRPr="00373757">
        <w:t>to validate, compile and aggregate the data for this effort. When you are ready to submit your data, please send an email to</w:t>
      </w:r>
      <w:r w:rsidR="00D90480">
        <w:t xml:space="preserve"> </w:t>
      </w:r>
      <w:hyperlink r:id="rId19" w:history="1">
        <w:r w:rsidR="00D90480" w:rsidRPr="00712255">
          <w:rPr>
            <w:rStyle w:val="Hyperlink"/>
          </w:rPr>
          <w:t>SOADataTransmissions@limra.com</w:t>
        </w:r>
      </w:hyperlink>
      <w:r w:rsidRPr="00373757">
        <w:t xml:space="preserve"> and LIMRA will send you a secure link to facilitate the data transmission.</w:t>
      </w:r>
    </w:p>
    <w:p w14:paraId="630E717E" w14:textId="77777777" w:rsidR="00373757" w:rsidRPr="00373757" w:rsidRDefault="00373757" w:rsidP="00373757">
      <w:pPr>
        <w:pStyle w:val="Bodynormal"/>
      </w:pPr>
    </w:p>
    <w:p w14:paraId="6EED5078" w14:textId="4A1B9151" w:rsidR="00373757" w:rsidRPr="007234B0" w:rsidRDefault="00373757" w:rsidP="00373757">
      <w:pPr>
        <w:pStyle w:val="Heading1"/>
        <w:spacing w:before="240"/>
      </w:pPr>
      <w:bookmarkStart w:id="7" w:name="_Toc79583072"/>
      <w:bookmarkStart w:id="8" w:name="_Toc98504390"/>
      <w:r w:rsidRPr="007234B0">
        <w:t>Study Outputs</w:t>
      </w:r>
      <w:bookmarkEnd w:id="7"/>
      <w:bookmarkEnd w:id="8"/>
    </w:p>
    <w:p w14:paraId="0D6F84B8" w14:textId="23DD61BC" w:rsidR="00B97353" w:rsidRPr="007234B0" w:rsidRDefault="00B97353" w:rsidP="00373757">
      <w:pPr>
        <w:pStyle w:val="Bodynormal"/>
      </w:pPr>
      <w:r w:rsidRPr="007234B0">
        <w:t xml:space="preserve">A report with high level </w:t>
      </w:r>
      <w:r w:rsidR="00DC617C" w:rsidRPr="007234B0">
        <w:t xml:space="preserve">summary </w:t>
      </w:r>
      <w:r w:rsidRPr="007234B0">
        <w:t xml:space="preserve">results of the study will be </w:t>
      </w:r>
      <w:r w:rsidR="00373757" w:rsidRPr="007234B0">
        <w:t>made publicly available</w:t>
      </w:r>
      <w:r w:rsidRPr="007234B0">
        <w:t>.</w:t>
      </w:r>
    </w:p>
    <w:p w14:paraId="6AEC1A4D" w14:textId="49F56AC9" w:rsidR="0023623D" w:rsidRPr="007234B0" w:rsidRDefault="008111F9" w:rsidP="00373757">
      <w:pPr>
        <w:pStyle w:val="Bodynormal"/>
      </w:pPr>
      <w:r w:rsidRPr="007234B0">
        <w:t xml:space="preserve">In an effort to </w:t>
      </w:r>
      <w:r w:rsidR="0023623D" w:rsidRPr="007234B0">
        <w:t xml:space="preserve">ensure these important industry studies can be funded on a sustainable basis, </w:t>
      </w:r>
      <w:r w:rsidRPr="007234B0">
        <w:t xml:space="preserve">the SOA Research Institute and LIMRA will </w:t>
      </w:r>
      <w:r w:rsidR="0023623D" w:rsidRPr="007234B0">
        <w:t xml:space="preserve">begin offering </w:t>
      </w:r>
      <w:r w:rsidRPr="007234B0">
        <w:t>the detailed output</w:t>
      </w:r>
      <w:r w:rsidR="00DC617C" w:rsidRPr="007234B0">
        <w:t>s</w:t>
      </w:r>
      <w:r w:rsidRPr="007234B0">
        <w:t xml:space="preserve"> of this </w:t>
      </w:r>
      <w:r w:rsidR="0023623D" w:rsidRPr="007234B0">
        <w:t xml:space="preserve">work for </w:t>
      </w:r>
      <w:r w:rsidR="00111DA2" w:rsidRPr="007234B0">
        <w:t>purchase</w:t>
      </w:r>
      <w:r w:rsidR="0023623D" w:rsidRPr="007234B0">
        <w:t>.</w:t>
      </w:r>
    </w:p>
    <w:p w14:paraId="517D4B26" w14:textId="3AC3FFFC" w:rsidR="00373757" w:rsidRPr="007234B0" w:rsidRDefault="00B97353" w:rsidP="00373757">
      <w:pPr>
        <w:pStyle w:val="Bodynormal"/>
      </w:pPr>
      <w:r w:rsidRPr="007234B0">
        <w:t xml:space="preserve">The following may be </w:t>
      </w:r>
      <w:r w:rsidR="00DC617C" w:rsidRPr="007234B0">
        <w:t>included in the outputs</w:t>
      </w:r>
      <w:r w:rsidRPr="007234B0">
        <w:t xml:space="preserve"> </w:t>
      </w:r>
      <w:r w:rsidR="0023623D" w:rsidRPr="007234B0">
        <w:t xml:space="preserve">made </w:t>
      </w:r>
      <w:r w:rsidRPr="007234B0">
        <w:t>available</w:t>
      </w:r>
      <w:r w:rsidR="00111DA2" w:rsidRPr="007234B0">
        <w:t xml:space="preserve"> for purchase</w:t>
      </w:r>
      <w:r w:rsidR="00373757" w:rsidRPr="007234B0">
        <w:t>:</w:t>
      </w:r>
    </w:p>
    <w:p w14:paraId="4EB8E192" w14:textId="30FFB423" w:rsidR="00373757" w:rsidRPr="007234B0" w:rsidRDefault="00B97353" w:rsidP="007F2E38">
      <w:pPr>
        <w:pStyle w:val="Listbullets"/>
        <w:numPr>
          <w:ilvl w:val="0"/>
          <w:numId w:val="23"/>
        </w:numPr>
        <w:tabs>
          <w:tab w:val="num" w:pos="360"/>
        </w:tabs>
      </w:pPr>
      <w:r w:rsidRPr="007234B0">
        <w:t xml:space="preserve">detailed experience study </w:t>
      </w:r>
      <w:r w:rsidR="00373757" w:rsidRPr="007234B0">
        <w:t>report</w:t>
      </w:r>
      <w:r w:rsidRPr="007234B0">
        <w:t xml:space="preserve"> </w:t>
      </w:r>
      <w:r w:rsidR="00373757" w:rsidRPr="007234B0">
        <w:t>with analysis and commentary;</w:t>
      </w:r>
    </w:p>
    <w:p w14:paraId="57396721" w14:textId="1DFA9659" w:rsidR="00B97353" w:rsidRPr="007234B0" w:rsidRDefault="00B97353" w:rsidP="007F2E38">
      <w:pPr>
        <w:pStyle w:val="Listbullets"/>
        <w:numPr>
          <w:ilvl w:val="0"/>
          <w:numId w:val="23"/>
        </w:numPr>
        <w:tabs>
          <w:tab w:val="num" w:pos="360"/>
        </w:tabs>
      </w:pPr>
      <w:r w:rsidRPr="007234B0">
        <w:t xml:space="preserve">a set of data visualization dashboards with the ability to filter on and drill down into the detail of the results of the study; </w:t>
      </w:r>
    </w:p>
    <w:p w14:paraId="4BE7C8EB" w14:textId="06E8C272" w:rsidR="00B97353" w:rsidRPr="007234B0" w:rsidRDefault="00373757" w:rsidP="007F2E38">
      <w:pPr>
        <w:pStyle w:val="Listbullets"/>
        <w:numPr>
          <w:ilvl w:val="0"/>
          <w:numId w:val="23"/>
        </w:numPr>
        <w:tabs>
          <w:tab w:val="num" w:pos="360"/>
        </w:tabs>
      </w:pPr>
      <w:r w:rsidRPr="007234B0">
        <w:t xml:space="preserve">dataset(s) containing the aggregated experience collected for the purpose of this study. The datasets may be made available in excel files, text files or </w:t>
      </w:r>
      <w:r w:rsidR="00B97353" w:rsidRPr="007234B0">
        <w:t>downloads from the data visualization tool;</w:t>
      </w:r>
      <w:r w:rsidRPr="007234B0">
        <w:t xml:space="preserve"> </w:t>
      </w:r>
    </w:p>
    <w:p w14:paraId="4CCD0BF8" w14:textId="0AB4DED7" w:rsidR="00373757" w:rsidRPr="007234B0" w:rsidRDefault="00373757" w:rsidP="007F2E38">
      <w:pPr>
        <w:pStyle w:val="Listbullets"/>
        <w:numPr>
          <w:ilvl w:val="0"/>
          <w:numId w:val="23"/>
        </w:numPr>
        <w:tabs>
          <w:tab w:val="num" w:pos="360"/>
        </w:tabs>
      </w:pPr>
      <w:r w:rsidRPr="007234B0">
        <w:t>models or other tools developed to support the analyses completed in the study; and</w:t>
      </w:r>
    </w:p>
    <w:p w14:paraId="1CB8526E" w14:textId="3D5CB92B" w:rsidR="00B97353" w:rsidRPr="007234B0" w:rsidRDefault="00373757" w:rsidP="00173605">
      <w:pPr>
        <w:pStyle w:val="Listbullets"/>
        <w:numPr>
          <w:ilvl w:val="0"/>
          <w:numId w:val="23"/>
        </w:numPr>
        <w:tabs>
          <w:tab w:val="num" w:pos="360"/>
        </w:tabs>
      </w:pPr>
      <w:r w:rsidRPr="007234B0">
        <w:t xml:space="preserve">other outputs as determined by the SOA </w:t>
      </w:r>
      <w:r w:rsidR="00B97353" w:rsidRPr="007234B0">
        <w:t>Research Institute and LIMRA.</w:t>
      </w:r>
    </w:p>
    <w:p w14:paraId="63F8687C" w14:textId="77777777" w:rsidR="00B97353" w:rsidRPr="007234B0" w:rsidRDefault="00B97353" w:rsidP="00B97353">
      <w:pPr>
        <w:pStyle w:val="Listbullets"/>
      </w:pPr>
    </w:p>
    <w:p w14:paraId="539E5B41" w14:textId="05BEBA36" w:rsidR="00505045" w:rsidRPr="007234B0" w:rsidRDefault="00B97353" w:rsidP="007234B0">
      <w:pPr>
        <w:pStyle w:val="Listbullets"/>
      </w:pPr>
      <w:r w:rsidRPr="007234B0">
        <w:t>Any output of the study, whether publicly available or available for purchase, will not contain any private information or any confidential contributor level information</w:t>
      </w:r>
      <w:r w:rsidR="00DC617C" w:rsidRPr="007234B0">
        <w:t>.</w:t>
      </w:r>
    </w:p>
    <w:p w14:paraId="6D4A6087" w14:textId="443452E8" w:rsidR="007F2E38" w:rsidRPr="007234B0" w:rsidRDefault="007F2E38" w:rsidP="007F2E38">
      <w:pPr>
        <w:pStyle w:val="Heading1"/>
        <w:spacing w:before="240"/>
      </w:pPr>
      <w:bookmarkStart w:id="9" w:name="_Toc79583073"/>
      <w:bookmarkStart w:id="10" w:name="_Toc98504391"/>
      <w:r w:rsidRPr="007234B0">
        <w:t>Benefits to Data Contributors</w:t>
      </w:r>
      <w:bookmarkEnd w:id="9"/>
      <w:bookmarkEnd w:id="10"/>
    </w:p>
    <w:p w14:paraId="265D789B" w14:textId="7F2456F0" w:rsidR="00300F2C" w:rsidRPr="007234B0" w:rsidRDefault="00300F2C" w:rsidP="00300F2C">
      <w:pPr>
        <w:pStyle w:val="ResBodyText"/>
      </w:pPr>
      <w:r w:rsidRPr="007234B0">
        <w:t xml:space="preserve">Data contributors will be acknowledged in the study output.  Their experience data will be part of a broad industry study that will benefit the industry.  </w:t>
      </w:r>
      <w:r w:rsidR="008111F9" w:rsidRPr="007234B0">
        <w:t xml:space="preserve">Data contributors will benefit from having their company’s data included in </w:t>
      </w:r>
      <w:r w:rsidR="00213DB8">
        <w:t>resultant experience tables</w:t>
      </w:r>
      <w:r w:rsidR="008111F9" w:rsidRPr="007234B0">
        <w:t>.</w:t>
      </w:r>
    </w:p>
    <w:p w14:paraId="628C646F" w14:textId="45601B19" w:rsidR="007F2E38" w:rsidRPr="007234B0" w:rsidRDefault="007F2E38" w:rsidP="007F2E38">
      <w:pPr>
        <w:pStyle w:val="ResBodyText"/>
      </w:pPr>
      <w:r w:rsidRPr="007234B0">
        <w:t>Data contributors whose data is retained for inclusion in the study</w:t>
      </w:r>
      <w:r w:rsidR="00B97353" w:rsidRPr="007234B0">
        <w:t xml:space="preserve"> and who purchase the available </w:t>
      </w:r>
      <w:r w:rsidR="00114DAF" w:rsidRPr="007234B0">
        <w:t xml:space="preserve">detailed </w:t>
      </w:r>
      <w:r w:rsidR="00B97353" w:rsidRPr="007234B0">
        <w:t>study outputs</w:t>
      </w:r>
      <w:r w:rsidRPr="007234B0">
        <w:t xml:space="preserve"> will</w:t>
      </w:r>
      <w:r w:rsidR="008111F9" w:rsidRPr="007234B0">
        <w:t xml:space="preserve"> also</w:t>
      </w:r>
      <w:r w:rsidRPr="007234B0">
        <w:t xml:space="preserve"> receive</w:t>
      </w:r>
      <w:r w:rsidR="00300F2C" w:rsidRPr="007234B0">
        <w:t xml:space="preserve"> the following benefits</w:t>
      </w:r>
      <w:r w:rsidRPr="007234B0">
        <w:t>:</w:t>
      </w:r>
    </w:p>
    <w:p w14:paraId="14F0DBB4" w14:textId="71274942" w:rsidR="00300F2C" w:rsidRPr="007234B0" w:rsidRDefault="00300F2C" w:rsidP="007F2E38">
      <w:pPr>
        <w:pStyle w:val="Listbullets"/>
        <w:numPr>
          <w:ilvl w:val="0"/>
          <w:numId w:val="23"/>
        </w:numPr>
        <w:tabs>
          <w:tab w:val="num" w:pos="360"/>
        </w:tabs>
      </w:pPr>
      <w:bookmarkStart w:id="11" w:name="_Hlk125373310"/>
      <w:r w:rsidRPr="007234B0">
        <w:t xml:space="preserve">the </w:t>
      </w:r>
      <w:r w:rsidR="00696701" w:rsidRPr="007234B0">
        <w:t xml:space="preserve">cost of any study outputs that are not publicly available will be </w:t>
      </w:r>
      <w:r w:rsidR="00111DA2" w:rsidRPr="007234B0">
        <w:t xml:space="preserve">deeply </w:t>
      </w:r>
      <w:r w:rsidR="00696701" w:rsidRPr="007234B0">
        <w:t xml:space="preserve">discounted </w:t>
      </w:r>
      <w:r w:rsidRPr="007234B0">
        <w:t xml:space="preserve">for data contributors relative to the </w:t>
      </w:r>
      <w:r w:rsidR="00696701" w:rsidRPr="007234B0">
        <w:t>cost</w:t>
      </w:r>
      <w:r w:rsidRPr="007234B0">
        <w:t xml:space="preserve"> for non-data contributors. The data contributors’ </w:t>
      </w:r>
      <w:r w:rsidR="00696701" w:rsidRPr="007234B0">
        <w:t>cost</w:t>
      </w:r>
      <w:r w:rsidRPr="007234B0">
        <w:t xml:space="preserve"> is expected to be </w:t>
      </w:r>
      <w:r w:rsidR="007B25E5">
        <w:t>$10,000, while the cost for non-contributors is expected to be $40,000</w:t>
      </w:r>
      <w:r w:rsidRPr="007234B0">
        <w:t>;</w:t>
      </w:r>
    </w:p>
    <w:p w14:paraId="5FBB07C2" w14:textId="772EF187" w:rsidR="00300F2C" w:rsidRPr="007234B0" w:rsidRDefault="00B97353" w:rsidP="007F2E38">
      <w:pPr>
        <w:pStyle w:val="Listbullets"/>
        <w:numPr>
          <w:ilvl w:val="0"/>
          <w:numId w:val="23"/>
        </w:numPr>
        <w:tabs>
          <w:tab w:val="num" w:pos="360"/>
        </w:tabs>
      </w:pPr>
      <w:r w:rsidRPr="007234B0">
        <w:t>the ability to see their o</w:t>
      </w:r>
      <w:r w:rsidR="00300F2C" w:rsidRPr="007234B0">
        <w:t xml:space="preserve">wn experience results compared to the industry results in any </w:t>
      </w:r>
      <w:r w:rsidR="00696701" w:rsidRPr="007234B0">
        <w:t xml:space="preserve">non-public, </w:t>
      </w:r>
      <w:r w:rsidR="00300F2C" w:rsidRPr="007234B0">
        <w:t>data visualization dashboards or excel pivot tables;</w:t>
      </w:r>
    </w:p>
    <w:p w14:paraId="3F2746AF" w14:textId="7E309234" w:rsidR="00655C47" w:rsidRPr="007234B0" w:rsidRDefault="00300F2C" w:rsidP="007234B0">
      <w:pPr>
        <w:pStyle w:val="Listbullets"/>
        <w:numPr>
          <w:ilvl w:val="0"/>
          <w:numId w:val="23"/>
        </w:numPr>
        <w:tabs>
          <w:tab w:val="num" w:pos="360"/>
        </w:tabs>
        <w:spacing w:before="0"/>
        <w:rPr>
          <w:b/>
          <w:bCs/>
        </w:rPr>
      </w:pPr>
      <w:r w:rsidRPr="007234B0">
        <w:t xml:space="preserve">the option to choose a </w:t>
      </w:r>
      <w:r w:rsidR="00114DAF" w:rsidRPr="007234B0">
        <w:t>group of no less than 5</w:t>
      </w:r>
      <w:r w:rsidR="008111F9" w:rsidRPr="007234B0">
        <w:t xml:space="preserve"> </w:t>
      </w:r>
      <w:r w:rsidRPr="007234B0">
        <w:t xml:space="preserve">peer companies from the companies who provided data </w:t>
      </w:r>
      <w:r w:rsidR="008111F9" w:rsidRPr="007234B0">
        <w:t xml:space="preserve">to the study </w:t>
      </w:r>
      <w:r w:rsidRPr="007234B0">
        <w:t xml:space="preserve">and </w:t>
      </w:r>
      <w:r w:rsidR="00114DAF" w:rsidRPr="007234B0">
        <w:t>receive a comparison of</w:t>
      </w:r>
      <w:r w:rsidRPr="007234B0">
        <w:t xml:space="preserve"> the </w:t>
      </w:r>
      <w:r w:rsidR="00114DAF" w:rsidRPr="007234B0">
        <w:t xml:space="preserve">aggregated </w:t>
      </w:r>
      <w:r w:rsidRPr="007234B0">
        <w:t>results of these peer companies to their own company results;</w:t>
      </w:r>
      <w:r w:rsidR="00655C47" w:rsidRPr="007234B0">
        <w:t xml:space="preserve"> </w:t>
      </w:r>
    </w:p>
    <w:p w14:paraId="10096058" w14:textId="51324927" w:rsidR="00655C47" w:rsidRPr="007234B0" w:rsidRDefault="006F55F0" w:rsidP="007234B0">
      <w:pPr>
        <w:pStyle w:val="Listbullets"/>
        <w:numPr>
          <w:ilvl w:val="1"/>
          <w:numId w:val="23"/>
        </w:numPr>
      </w:pPr>
      <w:r w:rsidRPr="007234B0">
        <w:t>If your company is chosen to be in another company’s peer group,</w:t>
      </w:r>
      <w:r w:rsidR="00655C47" w:rsidRPr="007234B0">
        <w:t xml:space="preserve"> your company’s confidentiality will be protected in any peer group analysis in the following ways:</w:t>
      </w:r>
    </w:p>
    <w:p w14:paraId="52C1B97A" w14:textId="77777777" w:rsidR="00655C47" w:rsidRPr="007234B0" w:rsidRDefault="00655C47" w:rsidP="003E0CAC">
      <w:pPr>
        <w:pStyle w:val="Listbullets"/>
        <w:numPr>
          <w:ilvl w:val="2"/>
          <w:numId w:val="31"/>
        </w:numPr>
      </w:pPr>
      <w:r w:rsidRPr="007234B0">
        <w:t>A peer group must contain at least five (5) companies.</w:t>
      </w:r>
    </w:p>
    <w:p w14:paraId="6CF56F49" w14:textId="7B2DA0F5" w:rsidR="00655C47" w:rsidRPr="007234B0" w:rsidRDefault="00655C47" w:rsidP="003E0CAC">
      <w:pPr>
        <w:pStyle w:val="Listbullets"/>
        <w:numPr>
          <w:ilvl w:val="2"/>
          <w:numId w:val="31"/>
        </w:numPr>
      </w:pPr>
      <w:r w:rsidRPr="007234B0">
        <w:lastRenderedPageBreak/>
        <w:t xml:space="preserve">If needed, any company with data that dominates the rest of the group (i.e., represents more than 25% of the exposure for the group) will be scaled </w:t>
      </w:r>
      <w:r w:rsidR="007234B0" w:rsidRPr="007234B0">
        <w:t>down</w:t>
      </w:r>
      <w:r w:rsidRPr="007234B0">
        <w:t xml:space="preserve"> to 25%.</w:t>
      </w:r>
    </w:p>
    <w:bookmarkEnd w:id="11"/>
    <w:p w14:paraId="01937D2E" w14:textId="62121474" w:rsidR="00A072EE" w:rsidRDefault="006F55F0" w:rsidP="003E0CAC">
      <w:pPr>
        <w:pStyle w:val="Listbullets"/>
        <w:numPr>
          <w:ilvl w:val="1"/>
          <w:numId w:val="23"/>
        </w:numPr>
        <w:spacing w:after="0"/>
      </w:pPr>
      <w:r w:rsidRPr="007234B0">
        <w:t xml:space="preserve">If you submit data for more than one company, please contact </w:t>
      </w:r>
      <w:hyperlink r:id="rId20" w:history="1">
        <w:r w:rsidR="007234B0" w:rsidRPr="00712255">
          <w:rPr>
            <w:rStyle w:val="Hyperlink"/>
          </w:rPr>
          <w:t>eschulty@soa.org</w:t>
        </w:r>
      </w:hyperlink>
      <w:r w:rsidRPr="007234B0">
        <w:t xml:space="preserve"> if you prefer the data for all the companies to be combined as one ‘company group’ or kept as separate individual companies in your peer group analysis.</w:t>
      </w:r>
    </w:p>
    <w:p w14:paraId="3C4FF56B" w14:textId="24B5CE8C" w:rsidR="00184D43" w:rsidRPr="00270F05" w:rsidRDefault="00184D43" w:rsidP="00184D43">
      <w:pPr>
        <w:pStyle w:val="Listbullets"/>
        <w:numPr>
          <w:ilvl w:val="1"/>
          <w:numId w:val="23"/>
        </w:numPr>
      </w:pPr>
      <w:r w:rsidRPr="00270F05">
        <w:t xml:space="preserve">By being a data contributor, you acknowledge and agree that your company’s data may be part of another company’s peer group analysis. If you want to exclude your company’s data from another company’s peer group analysis, please notify </w:t>
      </w:r>
      <w:hyperlink r:id="rId21" w:history="1">
        <w:r w:rsidRPr="00270F05">
          <w:rPr>
            <w:rStyle w:val="Hyperlink"/>
          </w:rPr>
          <w:t>eschulty@soa.org</w:t>
        </w:r>
      </w:hyperlink>
      <w:r w:rsidRPr="00270F05">
        <w:t xml:space="preserve">. In this case, your company will not have the option to receive a peer group analysis. </w:t>
      </w:r>
    </w:p>
    <w:p w14:paraId="6FEF887A" w14:textId="214867FF" w:rsidR="007F2E38" w:rsidRPr="007234B0" w:rsidRDefault="00300F2C" w:rsidP="003E0CAC">
      <w:pPr>
        <w:pStyle w:val="Listbullets"/>
        <w:numPr>
          <w:ilvl w:val="0"/>
          <w:numId w:val="23"/>
        </w:numPr>
        <w:tabs>
          <w:tab w:val="num" w:pos="360"/>
        </w:tabs>
        <w:spacing w:before="0"/>
      </w:pPr>
      <w:r w:rsidRPr="007234B0">
        <w:t xml:space="preserve">the opportunity to have a </w:t>
      </w:r>
      <w:r w:rsidR="008111F9" w:rsidRPr="007234B0">
        <w:t>meeting</w:t>
      </w:r>
      <w:r w:rsidRPr="007234B0">
        <w:t xml:space="preserve"> with the SOA </w:t>
      </w:r>
      <w:r w:rsidR="00111DA2" w:rsidRPr="007D45BC">
        <w:rPr>
          <w:rFonts w:asciiTheme="minorHAnsi" w:hAnsiTheme="minorHAnsi"/>
          <w:szCs w:val="20"/>
        </w:rPr>
        <w:t>Research Institute</w:t>
      </w:r>
      <w:r w:rsidR="00111DA2" w:rsidRPr="007234B0">
        <w:t xml:space="preserve"> </w:t>
      </w:r>
      <w:r w:rsidRPr="007234B0">
        <w:t>and LIMRA researcher(s) who performed the analyses for the study</w:t>
      </w:r>
      <w:r w:rsidR="008111F9" w:rsidRPr="007234B0">
        <w:t xml:space="preserve">.  At this meeting, the contributor will be able to </w:t>
      </w:r>
      <w:r w:rsidRPr="007234B0">
        <w:t>quickly gain deeper insights into the results</w:t>
      </w:r>
      <w:r w:rsidR="008111F9" w:rsidRPr="007234B0">
        <w:t xml:space="preserve"> and questions in specific areas of interest</w:t>
      </w:r>
      <w:r w:rsidRPr="007234B0">
        <w:t>.</w:t>
      </w:r>
    </w:p>
    <w:p w14:paraId="0632037D" w14:textId="77777777" w:rsidR="007F2E38" w:rsidRDefault="007F2E38" w:rsidP="007F2E38">
      <w:pPr>
        <w:pStyle w:val="Heading1"/>
        <w:spacing w:before="240"/>
      </w:pPr>
      <w:bookmarkStart w:id="12" w:name="_Toc488402354"/>
      <w:bookmarkStart w:id="13" w:name="_Toc79583074"/>
      <w:bookmarkStart w:id="14" w:name="_Toc98504392"/>
      <w:bookmarkStart w:id="15" w:name="_Hlk33532938"/>
      <w:r>
        <w:t>Data Access, Ownership and Retention</w:t>
      </w:r>
      <w:bookmarkEnd w:id="12"/>
      <w:bookmarkEnd w:id="13"/>
      <w:bookmarkEnd w:id="14"/>
    </w:p>
    <w:bookmarkEnd w:id="15"/>
    <w:p w14:paraId="6F1EBAC4" w14:textId="10E3A734" w:rsidR="007F2E38" w:rsidRPr="007F2E38" w:rsidRDefault="007F2E38" w:rsidP="007F2E38">
      <w:pPr>
        <w:pStyle w:val="ResBodyText"/>
      </w:pPr>
      <w:r w:rsidRPr="007F2E38">
        <w:t xml:space="preserve">The SOA </w:t>
      </w:r>
      <w:r w:rsidR="00111DA2" w:rsidRPr="001C58AD">
        <w:rPr>
          <w:rFonts w:asciiTheme="minorHAnsi" w:hAnsiTheme="minorHAnsi"/>
          <w:szCs w:val="20"/>
        </w:rPr>
        <w:t>Research Institute</w:t>
      </w:r>
      <w:r w:rsidR="00111DA2" w:rsidRPr="007F2E38">
        <w:t xml:space="preserve"> </w:t>
      </w:r>
      <w:r w:rsidRPr="007F2E38">
        <w:t xml:space="preserve">and LIMRA have partnered together to collect and process experience data for this effort. The data collected under this partnership will be processed and housed within LIMRA’s existing study data infrastructure. The agreement between the SOA </w:t>
      </w:r>
      <w:r w:rsidR="00111DA2" w:rsidRPr="001C58AD">
        <w:rPr>
          <w:rFonts w:asciiTheme="minorHAnsi" w:hAnsiTheme="minorHAnsi"/>
          <w:szCs w:val="20"/>
        </w:rPr>
        <w:t>Research Institute</w:t>
      </w:r>
      <w:r w:rsidR="00111DA2" w:rsidRPr="007F2E38">
        <w:t xml:space="preserve"> </w:t>
      </w:r>
      <w:r w:rsidRPr="007F2E38">
        <w:t xml:space="preserve">and LIMRA includes provisions to ensure the data is kept secure and confidential. Only SOA </w:t>
      </w:r>
      <w:r w:rsidR="00111DA2" w:rsidRPr="001C58AD">
        <w:rPr>
          <w:rFonts w:asciiTheme="minorHAnsi" w:hAnsiTheme="minorHAnsi"/>
          <w:szCs w:val="20"/>
        </w:rPr>
        <w:t>Research Institute</w:t>
      </w:r>
      <w:r w:rsidR="00111DA2" w:rsidRPr="007F2E38">
        <w:t xml:space="preserve"> </w:t>
      </w:r>
      <w:r w:rsidRPr="007F2E38">
        <w:t xml:space="preserve">and LIMRA staff directly involved with the project will have access to the original data. SOA </w:t>
      </w:r>
      <w:r w:rsidR="00111DA2" w:rsidRPr="001C58AD">
        <w:rPr>
          <w:rFonts w:asciiTheme="minorHAnsi" w:hAnsiTheme="minorHAnsi"/>
          <w:szCs w:val="20"/>
        </w:rPr>
        <w:t>Research Institute</w:t>
      </w:r>
      <w:r w:rsidR="00111DA2" w:rsidRPr="007F2E38">
        <w:t xml:space="preserve"> </w:t>
      </w:r>
      <w:r w:rsidRPr="007F2E38">
        <w:t xml:space="preserve">volunteers working on the experience analysis and table development will not have access to original data. For more information on LIMRA’s information security program, please see the LLG (LIMRA) Governing Information Security Policy in Appendix </w:t>
      </w:r>
      <w:r w:rsidR="00D90480">
        <w:t>C</w:t>
      </w:r>
      <w:r w:rsidRPr="007F2E38">
        <w:t>.</w:t>
      </w:r>
    </w:p>
    <w:p w14:paraId="510856C3" w14:textId="22C33BE4" w:rsidR="007F2E38" w:rsidRDefault="007F2E38" w:rsidP="00D92BF3">
      <w:pPr>
        <w:pStyle w:val="ResBodyText"/>
        <w:rPr>
          <w:rFonts w:ascii="Calibri" w:hAnsi="Calibri"/>
          <w:color w:val="024D7C"/>
          <w:sz w:val="28"/>
          <w:szCs w:val="26"/>
        </w:rPr>
      </w:pPr>
      <w:r w:rsidRPr="007F2E38">
        <w:t xml:space="preserve">The SOA </w:t>
      </w:r>
      <w:r w:rsidR="00111DA2" w:rsidRPr="001C58AD">
        <w:rPr>
          <w:rFonts w:asciiTheme="minorHAnsi" w:hAnsiTheme="minorHAnsi"/>
          <w:szCs w:val="20"/>
        </w:rPr>
        <w:t>Research Institute</w:t>
      </w:r>
      <w:r w:rsidR="00111DA2" w:rsidRPr="007F2E38">
        <w:t xml:space="preserve"> </w:t>
      </w:r>
      <w:r w:rsidRPr="007F2E38">
        <w:t xml:space="preserve">and LIMRA will create aggregated datasets from the original data contributions for the purpose of completing this effort. These aggregated datasets will not contain any personally identifiable information (PII). All aggregated datasets compiled by the SOA </w:t>
      </w:r>
      <w:r w:rsidR="00111DA2" w:rsidRPr="001C58AD">
        <w:rPr>
          <w:rFonts w:asciiTheme="minorHAnsi" w:hAnsiTheme="minorHAnsi"/>
          <w:szCs w:val="20"/>
        </w:rPr>
        <w:t>Research Institute</w:t>
      </w:r>
      <w:r w:rsidR="00111DA2" w:rsidRPr="007F2E38">
        <w:t xml:space="preserve"> </w:t>
      </w:r>
      <w:r w:rsidRPr="007F2E38">
        <w:t xml:space="preserve">and LIMRA from the original data contributions will be the property of the SOA </w:t>
      </w:r>
      <w:r w:rsidR="00111DA2" w:rsidRPr="001C58AD">
        <w:rPr>
          <w:rFonts w:asciiTheme="minorHAnsi" w:hAnsiTheme="minorHAnsi"/>
          <w:szCs w:val="20"/>
        </w:rPr>
        <w:t>Research Institute</w:t>
      </w:r>
      <w:r w:rsidR="00111DA2" w:rsidRPr="007F2E38">
        <w:t xml:space="preserve"> </w:t>
      </w:r>
      <w:r w:rsidRPr="007F2E38">
        <w:t>and LIMRA. Only SOA</w:t>
      </w:r>
      <w:r w:rsidR="00111DA2">
        <w:t xml:space="preserve"> </w:t>
      </w:r>
      <w:r w:rsidR="00111DA2" w:rsidRPr="001C58AD">
        <w:rPr>
          <w:rFonts w:asciiTheme="minorHAnsi" w:hAnsiTheme="minorHAnsi"/>
          <w:szCs w:val="20"/>
        </w:rPr>
        <w:t>Research Institute</w:t>
      </w:r>
      <w:r w:rsidRPr="007F2E38">
        <w:t xml:space="preserve"> staff, LIMRA staff, or contracted independent consultants will have access to contributor-level data. </w:t>
      </w:r>
      <w:r w:rsidR="00D92BF3">
        <w:rPr>
          <w:rFonts w:eastAsia="Times New Roman"/>
        </w:rPr>
        <w:t xml:space="preserve">The aggregated datasets may be used for future </w:t>
      </w:r>
      <w:bookmarkStart w:id="16" w:name="_Hlk105400171"/>
      <w:r w:rsidR="00D92BF3">
        <w:rPr>
          <w:rFonts w:eastAsia="Times New Roman"/>
        </w:rPr>
        <w:t>research, education or other purposes and offerings</w:t>
      </w:r>
      <w:bookmarkEnd w:id="16"/>
      <w:r w:rsidR="00D92BF3">
        <w:rPr>
          <w:rFonts w:eastAsia="Times New Roman"/>
        </w:rPr>
        <w:t>, as deemed appropriate by the SOA Research Institute or LIMRA.</w:t>
      </w:r>
      <w:r w:rsidR="00D92BF3" w:rsidRPr="002E0CF0">
        <w:rPr>
          <w:rFonts w:asciiTheme="minorHAnsi" w:hAnsiTheme="minorHAnsi" w:cstheme="minorHAnsi"/>
          <w:szCs w:val="20"/>
        </w:rPr>
        <w:t xml:space="preserve"> </w:t>
      </w:r>
      <w:r>
        <w:rPr>
          <w:rFonts w:ascii="Calibri" w:hAnsi="Calibri"/>
          <w:color w:val="024D7C"/>
          <w:sz w:val="28"/>
          <w:szCs w:val="26"/>
        </w:rPr>
        <w:br w:type="page"/>
      </w:r>
    </w:p>
    <w:p w14:paraId="2936341C" w14:textId="77777777" w:rsidR="007F2E38" w:rsidRDefault="007F2E38" w:rsidP="00040DA2">
      <w:pPr>
        <w:pStyle w:val="Heading1"/>
      </w:pPr>
      <w:bookmarkStart w:id="17" w:name="_Toc98504393"/>
      <w:r w:rsidRPr="007F2E38">
        <w:lastRenderedPageBreak/>
        <w:t>APPENDIX A – Data Request Description</w:t>
      </w:r>
      <w:bookmarkEnd w:id="17"/>
    </w:p>
    <w:p w14:paraId="49F38F8B" w14:textId="6E385411" w:rsidR="007F2E38" w:rsidRDefault="00FD67B0" w:rsidP="00483F40">
      <w:pPr>
        <w:spacing w:before="120" w:after="60"/>
      </w:pPr>
      <w:r>
        <w:rPr>
          <w:rFonts w:asciiTheme="majorHAnsi" w:hAnsiTheme="majorHAnsi"/>
          <w:color w:val="000000" w:themeColor="text1"/>
          <w:sz w:val="21"/>
          <w:szCs w:val="26"/>
        </w:rPr>
        <w:t>Data Request Overview</w:t>
      </w:r>
    </w:p>
    <w:p w14:paraId="4AE0B38B" w14:textId="65939AED" w:rsidR="00FD67B0" w:rsidRDefault="00FD67B0" w:rsidP="00FD67B0">
      <w:pPr>
        <w:spacing w:after="0"/>
        <w:rPr>
          <w:color w:val="FF0000"/>
        </w:rPr>
      </w:pPr>
      <w:r>
        <w:t>The study period includes calendar years 2013 through 2021. Please submit exposure and corresponding claim information, gross of reinsurance, on groups that have been insured during any portion of the study period</w:t>
      </w:r>
      <w:r w:rsidRPr="00695E84">
        <w:t xml:space="preserve">, provided the group has been insured for at least one calendar </w:t>
      </w:r>
      <w:r w:rsidR="00F95529">
        <w:t>month</w:t>
      </w:r>
      <w:r w:rsidRPr="00695E84">
        <w:t xml:space="preserve"> during this period.</w:t>
      </w:r>
      <w:r>
        <w:rPr>
          <w:color w:val="FF0000"/>
        </w:rPr>
        <w:t xml:space="preserve">  </w:t>
      </w:r>
    </w:p>
    <w:p w14:paraId="3254B8C8" w14:textId="2A599CCA" w:rsidR="00FD67B0" w:rsidRDefault="00FD67B0" w:rsidP="007857AC">
      <w:pPr>
        <w:spacing w:after="0"/>
      </w:pPr>
    </w:p>
    <w:p w14:paraId="664D71F4" w14:textId="5A24015A" w:rsidR="007857AC" w:rsidRDefault="007857AC" w:rsidP="007857AC">
      <w:pPr>
        <w:spacing w:after="0"/>
      </w:pPr>
      <w:r>
        <w:t>The request is for three (3) different data files:</w:t>
      </w:r>
    </w:p>
    <w:p w14:paraId="4419851E" w14:textId="77777777" w:rsidR="007857AC" w:rsidRDefault="007857AC" w:rsidP="007857AC">
      <w:pPr>
        <w:pStyle w:val="ListParagraph"/>
        <w:numPr>
          <w:ilvl w:val="0"/>
          <w:numId w:val="33"/>
        </w:numPr>
        <w:spacing w:after="0" w:line="276" w:lineRule="auto"/>
      </w:pPr>
      <w:r>
        <w:t>Basic (employer-paid) coverage – individual exposure</w:t>
      </w:r>
    </w:p>
    <w:p w14:paraId="2214A3D2" w14:textId="77777777" w:rsidR="007857AC" w:rsidRDefault="007857AC" w:rsidP="007857AC">
      <w:pPr>
        <w:pStyle w:val="ListParagraph"/>
        <w:numPr>
          <w:ilvl w:val="0"/>
          <w:numId w:val="33"/>
        </w:numPr>
        <w:spacing w:after="0" w:line="276" w:lineRule="auto"/>
      </w:pPr>
      <w:r>
        <w:t>Supplemental (100% employee-paid) coverage – individual exposure</w:t>
      </w:r>
    </w:p>
    <w:p w14:paraId="0CDD738D" w14:textId="77777777" w:rsidR="007857AC" w:rsidRDefault="007857AC" w:rsidP="007857AC">
      <w:pPr>
        <w:pStyle w:val="ListParagraph"/>
        <w:numPr>
          <w:ilvl w:val="0"/>
          <w:numId w:val="33"/>
        </w:numPr>
        <w:spacing w:after="0" w:line="276" w:lineRule="auto"/>
      </w:pPr>
      <w:r>
        <w:t>Portability coverage</w:t>
      </w:r>
    </w:p>
    <w:p w14:paraId="26A6ADE8" w14:textId="77777777" w:rsidR="007857AC" w:rsidRDefault="007857AC" w:rsidP="007857AC">
      <w:pPr>
        <w:pStyle w:val="ListParagraph"/>
        <w:spacing w:after="0"/>
      </w:pPr>
    </w:p>
    <w:p w14:paraId="636A7445" w14:textId="706EEFF1" w:rsidR="007857AC" w:rsidRDefault="00D90480" w:rsidP="007857AC">
      <w:pPr>
        <w:spacing w:after="0"/>
      </w:pPr>
      <w:r w:rsidRPr="00D90480">
        <w:rPr>
          <w:b/>
          <w:bCs/>
        </w:rPr>
        <w:t>Please see the attached Excel workbook “Group Life 2013-2021 Data Request” for the layout of requested fields.</w:t>
      </w:r>
      <w:r>
        <w:t xml:space="preserve"> </w:t>
      </w:r>
      <w:r w:rsidR="007857AC" w:rsidRPr="00021FB3">
        <w:t>Participants should merge group</w:t>
      </w:r>
      <w:r w:rsidR="007857AC">
        <w:t>-</w:t>
      </w:r>
      <w:r w:rsidR="007857AC" w:rsidRPr="00021FB3">
        <w:t>level information, individual exposure</w:t>
      </w:r>
      <w:r>
        <w:t>,</w:t>
      </w:r>
      <w:r w:rsidR="007857AC" w:rsidRPr="00021FB3">
        <w:t xml:space="preserve"> and claim records into a single record within each submitted file. </w:t>
      </w:r>
      <w:r w:rsidR="00085C1C">
        <w:t>The accompanying “</w:t>
      </w:r>
      <w:r w:rsidR="00085C1C" w:rsidRPr="00085C1C">
        <w:t>Group Life 2013-2021 Data Request Instructions.docx</w:t>
      </w:r>
      <w:r w:rsidR="00085C1C">
        <w:t>” provides detailed instructions on providing information for each data element.</w:t>
      </w:r>
    </w:p>
    <w:p w14:paraId="3D15258B" w14:textId="575570CA" w:rsidR="00FD67B0" w:rsidRDefault="00FD67B0" w:rsidP="007857AC">
      <w:pPr>
        <w:spacing w:after="0"/>
      </w:pPr>
    </w:p>
    <w:p w14:paraId="1A20C136" w14:textId="6DF6AFB1" w:rsidR="00FD67B0" w:rsidRDefault="00FD67B0" w:rsidP="00FD67B0">
      <w:pPr>
        <w:spacing w:after="0"/>
      </w:pPr>
      <w:r>
        <w:t xml:space="preserve">“Individual exposure” means individual employee records maintained on the carrier’s administration system and used to create a premium bill for the employer group. </w:t>
      </w:r>
      <w:r w:rsidR="0092121E">
        <w:t xml:space="preserve">Retiree exposures that are included in the list bill should be included, along with their corresponding death claims. </w:t>
      </w:r>
      <w:r>
        <w:t xml:space="preserve">DO NOT submit data for self-administered employer groups (those for which the insurer does not maintain complete and continuous eligibility data for billing purposes).  The Committee </w:t>
      </w:r>
      <w:r w:rsidR="00213DB8">
        <w:t>is evaluating the possibility of a future study focusing on self-administered data.</w:t>
      </w:r>
      <w:r>
        <w:t xml:space="preserve">  </w:t>
      </w:r>
    </w:p>
    <w:p w14:paraId="75A10097" w14:textId="77777777" w:rsidR="00FD67B0" w:rsidRDefault="00FD67B0" w:rsidP="00FD67B0">
      <w:pPr>
        <w:spacing w:after="0"/>
      </w:pPr>
    </w:p>
    <w:p w14:paraId="3E9AD8DF" w14:textId="60676236" w:rsidR="007857AC" w:rsidRDefault="00FD67B0" w:rsidP="007857AC">
      <w:pPr>
        <w:spacing w:after="0"/>
      </w:pPr>
      <w:r>
        <w:t xml:space="preserve">“Portability” means a supplemental group term life coverage that the insured is allowed to continue on a premium-paying basis after leaving the employer group. </w:t>
      </w:r>
      <w:r w:rsidRPr="007857AC">
        <w:rPr>
          <w:b/>
          <w:bCs/>
        </w:rPr>
        <w:t>Do not</w:t>
      </w:r>
      <w:r>
        <w:t xml:space="preserve"> include data on coverage that has been converted to an individual life policy. Because they could significantly impact the mortality of ported lives, we are requesting information on both (1) the level of individual underwriting applied; and (2) whether disabled lives are allowed to continue their coverage.</w:t>
      </w:r>
    </w:p>
    <w:p w14:paraId="79C98CBE" w14:textId="77777777" w:rsidR="007857AC" w:rsidRPr="00685E60" w:rsidRDefault="007857AC" w:rsidP="007857AC">
      <w:pPr>
        <w:spacing w:after="0"/>
        <w:rPr>
          <w:color w:val="FF0000"/>
        </w:rPr>
      </w:pPr>
    </w:p>
    <w:p w14:paraId="25BAB510" w14:textId="02047958" w:rsidR="00FD67B0" w:rsidRDefault="00D90480" w:rsidP="007857AC">
      <w:pPr>
        <w:spacing w:after="0"/>
      </w:pPr>
      <w:r>
        <w:t xml:space="preserve">The below Appendix B </w:t>
      </w:r>
      <w:r w:rsidR="007857AC" w:rsidRPr="00685E60">
        <w:t>is a Self</w:t>
      </w:r>
      <w:r w:rsidR="007857AC">
        <w:t>-</w:t>
      </w:r>
      <w:r w:rsidR="007857AC" w:rsidRPr="00685E60">
        <w:t>Audit Guide for data submission</w:t>
      </w:r>
      <w:r w:rsidR="00CD5248">
        <w:t>s</w:t>
      </w:r>
      <w:r w:rsidR="007857AC" w:rsidRPr="00685E60">
        <w:t xml:space="preserve">. It will expedite the study </w:t>
      </w:r>
      <w:r>
        <w:t xml:space="preserve">and minimize follow-up questions </w:t>
      </w:r>
      <w:r w:rsidR="007857AC" w:rsidRPr="00685E60">
        <w:t xml:space="preserve">if all participants perform self-audits of their data prior to submission. </w:t>
      </w:r>
    </w:p>
    <w:p w14:paraId="309F51C7" w14:textId="2583E0C5" w:rsidR="00FD67B0" w:rsidRDefault="00FD67B0" w:rsidP="00FD67B0">
      <w:pPr>
        <w:spacing w:before="360" w:after="60"/>
        <w:rPr>
          <w:rFonts w:asciiTheme="majorHAnsi" w:hAnsiTheme="majorHAnsi"/>
          <w:color w:val="000000" w:themeColor="text1"/>
          <w:sz w:val="21"/>
          <w:szCs w:val="26"/>
        </w:rPr>
      </w:pPr>
      <w:r>
        <w:rPr>
          <w:rFonts w:asciiTheme="majorHAnsi" w:hAnsiTheme="majorHAnsi"/>
          <w:color w:val="000000" w:themeColor="text1"/>
          <w:sz w:val="21"/>
          <w:szCs w:val="26"/>
        </w:rPr>
        <w:t>EXCLUSIONS</w:t>
      </w:r>
    </w:p>
    <w:p w14:paraId="6F926103" w14:textId="2F298A5F" w:rsidR="00FD67B0" w:rsidRDefault="00FD67B0" w:rsidP="00FD67B0">
      <w:pPr>
        <w:spacing w:after="0"/>
      </w:pPr>
      <w:r>
        <w:t>This study covers group term life and AD&amp;D insurance only.  The following are specifically excluded from the study:</w:t>
      </w:r>
    </w:p>
    <w:p w14:paraId="67AE3667" w14:textId="77777777" w:rsidR="00D90480" w:rsidRDefault="00D90480" w:rsidP="00FD67B0">
      <w:pPr>
        <w:spacing w:after="0"/>
      </w:pPr>
    </w:p>
    <w:p w14:paraId="5DA0A580" w14:textId="77777777" w:rsidR="00FD67B0" w:rsidRDefault="00FD67B0" w:rsidP="00FD67B0">
      <w:pPr>
        <w:pStyle w:val="ListParagraph"/>
        <w:numPr>
          <w:ilvl w:val="0"/>
          <w:numId w:val="34"/>
        </w:numPr>
        <w:spacing w:after="0" w:line="276" w:lineRule="auto"/>
      </w:pPr>
      <w:r>
        <w:t>Group Universal Life (GUL) / Group Variable Universal Life (GVUL)</w:t>
      </w:r>
    </w:p>
    <w:p w14:paraId="76FA119D" w14:textId="77777777" w:rsidR="00FD67B0" w:rsidRDefault="00FD67B0" w:rsidP="00FD67B0">
      <w:pPr>
        <w:pStyle w:val="ListParagraph"/>
        <w:numPr>
          <w:ilvl w:val="0"/>
          <w:numId w:val="34"/>
        </w:numPr>
        <w:spacing w:after="0" w:line="276" w:lineRule="auto"/>
      </w:pPr>
      <w:r>
        <w:t xml:space="preserve">Groups for which all insureds are medically underwritten – e.g., groups with fewer than 10 lives </w:t>
      </w:r>
    </w:p>
    <w:p w14:paraId="7282A65F" w14:textId="77777777" w:rsidR="00FD67B0" w:rsidRDefault="00FD67B0" w:rsidP="00FD67B0">
      <w:pPr>
        <w:pStyle w:val="ListParagraph"/>
        <w:numPr>
          <w:ilvl w:val="0"/>
          <w:numId w:val="34"/>
        </w:numPr>
        <w:spacing w:after="0" w:line="276" w:lineRule="auto"/>
      </w:pPr>
      <w:r>
        <w:t>Conversions to individual life policies</w:t>
      </w:r>
    </w:p>
    <w:p w14:paraId="193591E9" w14:textId="77777777" w:rsidR="00FD67B0" w:rsidRDefault="00FD67B0" w:rsidP="00FD67B0">
      <w:pPr>
        <w:pStyle w:val="ListParagraph"/>
        <w:numPr>
          <w:ilvl w:val="0"/>
          <w:numId w:val="34"/>
        </w:numPr>
        <w:spacing w:after="0" w:line="276" w:lineRule="auto"/>
      </w:pPr>
      <w:r>
        <w:t>Buyouts of waiver of premium reserves</w:t>
      </w:r>
    </w:p>
    <w:p w14:paraId="372B53D0" w14:textId="792FA168" w:rsidR="00FD67B0" w:rsidRDefault="00FD67B0" w:rsidP="00FD67B0">
      <w:pPr>
        <w:pStyle w:val="ListParagraph"/>
        <w:numPr>
          <w:ilvl w:val="0"/>
          <w:numId w:val="34"/>
        </w:numPr>
        <w:spacing w:after="0" w:line="276" w:lineRule="auto"/>
      </w:pPr>
      <w:r>
        <w:t xml:space="preserve">Paid-up </w:t>
      </w:r>
      <w:r w:rsidR="00481F9B">
        <w:t>life coverage</w:t>
      </w:r>
    </w:p>
    <w:p w14:paraId="143B26EF" w14:textId="11E119DC" w:rsidR="00FD67B0" w:rsidRDefault="00FD67B0" w:rsidP="00FD67B0">
      <w:pPr>
        <w:pStyle w:val="ListParagraph"/>
        <w:numPr>
          <w:ilvl w:val="0"/>
          <w:numId w:val="34"/>
        </w:numPr>
        <w:spacing w:after="0" w:line="276" w:lineRule="auto"/>
      </w:pPr>
      <w:r>
        <w:t>Dependent coverage (spouses / children)</w:t>
      </w:r>
    </w:p>
    <w:p w14:paraId="03A9C5A6" w14:textId="2FE93806" w:rsidR="00855717" w:rsidRDefault="00855717" w:rsidP="00855717">
      <w:pPr>
        <w:pStyle w:val="ListParagraph"/>
        <w:numPr>
          <w:ilvl w:val="0"/>
          <w:numId w:val="34"/>
        </w:numPr>
        <w:spacing w:after="0" w:line="276" w:lineRule="auto"/>
      </w:pPr>
      <w:r>
        <w:t>Survivor income benefit (SIB) policies</w:t>
      </w:r>
    </w:p>
    <w:p w14:paraId="3C516688" w14:textId="77777777" w:rsidR="00FD67B0" w:rsidRDefault="00FD67B0" w:rsidP="00FD67B0">
      <w:pPr>
        <w:pStyle w:val="ListParagraph"/>
        <w:numPr>
          <w:ilvl w:val="0"/>
          <w:numId w:val="34"/>
        </w:numPr>
        <w:spacing w:after="0" w:line="276" w:lineRule="auto"/>
      </w:pPr>
      <w:r>
        <w:t>Mass marketed / non-association</w:t>
      </w:r>
    </w:p>
    <w:p w14:paraId="19D742BB" w14:textId="77777777" w:rsidR="00FD67B0" w:rsidRDefault="00FD67B0" w:rsidP="00FD67B0">
      <w:pPr>
        <w:pStyle w:val="ListParagraph"/>
        <w:numPr>
          <w:ilvl w:val="0"/>
          <w:numId w:val="34"/>
        </w:numPr>
        <w:spacing w:after="0" w:line="276" w:lineRule="auto"/>
      </w:pPr>
      <w:r>
        <w:t>Stand-alone AD&amp;D</w:t>
      </w:r>
    </w:p>
    <w:p w14:paraId="3ACBDF06" w14:textId="33501349" w:rsidR="00FD67B0" w:rsidRDefault="00FD67B0" w:rsidP="00270F05">
      <w:pPr>
        <w:pStyle w:val="ListParagraph"/>
        <w:numPr>
          <w:ilvl w:val="0"/>
          <w:numId w:val="34"/>
        </w:numPr>
        <w:spacing w:after="0" w:line="276" w:lineRule="auto"/>
      </w:pPr>
      <w:r>
        <w:t>Assumed reinsurance</w:t>
      </w:r>
      <w:r>
        <w:br w:type="page"/>
      </w:r>
    </w:p>
    <w:p w14:paraId="6444A443" w14:textId="781DB374" w:rsidR="00FD67B0" w:rsidRDefault="00FD67B0" w:rsidP="00FD67B0">
      <w:pPr>
        <w:pStyle w:val="Heading1"/>
      </w:pPr>
      <w:r w:rsidRPr="007F2E38">
        <w:lastRenderedPageBreak/>
        <w:t xml:space="preserve">APPENDIX </w:t>
      </w:r>
      <w:r>
        <w:t>B</w:t>
      </w:r>
      <w:r w:rsidRPr="007F2E38">
        <w:t xml:space="preserve"> – </w:t>
      </w:r>
      <w:r>
        <w:t>Self-Audit Guide</w:t>
      </w:r>
    </w:p>
    <w:p w14:paraId="3524D217" w14:textId="77777777" w:rsidR="00FD67B0" w:rsidRDefault="00FD67B0" w:rsidP="00FD67B0">
      <w:r>
        <w:t xml:space="preserve">To expedite the release of study results, the Committee requests that each participant perform the following audits of their data prior to submission.  </w:t>
      </w:r>
    </w:p>
    <w:p w14:paraId="609C7EBE" w14:textId="77777777" w:rsidR="00FD67B0" w:rsidRDefault="00FD67B0" w:rsidP="00FD67B0">
      <w:pPr>
        <w:pStyle w:val="ListParagraph"/>
        <w:numPr>
          <w:ilvl w:val="0"/>
          <w:numId w:val="35"/>
        </w:numPr>
        <w:spacing w:line="276" w:lineRule="auto"/>
      </w:pPr>
      <w:r>
        <w:t xml:space="preserve">Review the submission and confirm that: </w:t>
      </w:r>
    </w:p>
    <w:p w14:paraId="6EB71650" w14:textId="77777777" w:rsidR="00FD67B0" w:rsidRDefault="00FD67B0" w:rsidP="00FD67B0">
      <w:pPr>
        <w:pStyle w:val="ListParagraph"/>
        <w:numPr>
          <w:ilvl w:val="0"/>
          <w:numId w:val="36"/>
        </w:numPr>
        <w:spacing w:line="276" w:lineRule="auto"/>
      </w:pPr>
      <w:r>
        <w:t>Rules regarding excluded business have been followed;</w:t>
      </w:r>
    </w:p>
    <w:p w14:paraId="00DFEC5C" w14:textId="22009EC7" w:rsidR="00FD67B0" w:rsidRDefault="00FD67B0" w:rsidP="00FD67B0">
      <w:pPr>
        <w:pStyle w:val="ListParagraph"/>
        <w:numPr>
          <w:ilvl w:val="0"/>
          <w:numId w:val="36"/>
        </w:numPr>
        <w:spacing w:line="276" w:lineRule="auto"/>
      </w:pPr>
      <w:r>
        <w:t>No group names have been included;</w:t>
      </w:r>
    </w:p>
    <w:p w14:paraId="297B2B1D" w14:textId="3B9C7991" w:rsidR="00FD67B0" w:rsidRDefault="00FD67B0" w:rsidP="00FD67B0">
      <w:pPr>
        <w:pStyle w:val="ListParagraph"/>
        <w:numPr>
          <w:ilvl w:val="0"/>
          <w:numId w:val="36"/>
        </w:numPr>
        <w:spacing w:line="276" w:lineRule="auto"/>
      </w:pPr>
      <w:r>
        <w:t>No individual names or other personal information such as Social Security number have been included</w:t>
      </w:r>
      <w:r w:rsidR="0091388B">
        <w:t>. See item 13 in the Instructions document for possible ways to mask PII if needed</w:t>
      </w:r>
      <w:r>
        <w:t>;</w:t>
      </w:r>
    </w:p>
    <w:p w14:paraId="7531B905" w14:textId="77777777" w:rsidR="00FD67B0" w:rsidRDefault="00FD67B0" w:rsidP="00FD67B0">
      <w:pPr>
        <w:pStyle w:val="ListParagraph"/>
        <w:numPr>
          <w:ilvl w:val="0"/>
          <w:numId w:val="36"/>
        </w:numPr>
        <w:spacing w:line="276" w:lineRule="auto"/>
      </w:pPr>
      <w:r>
        <w:t>All required fields have been provided;</w:t>
      </w:r>
    </w:p>
    <w:p w14:paraId="0F93F715" w14:textId="77777777" w:rsidR="00FD67B0" w:rsidRDefault="00FD67B0" w:rsidP="00FD67B0">
      <w:pPr>
        <w:pStyle w:val="ListParagraph"/>
        <w:numPr>
          <w:ilvl w:val="0"/>
          <w:numId w:val="36"/>
        </w:numPr>
        <w:spacing w:line="276" w:lineRule="auto"/>
      </w:pPr>
      <w:r>
        <w:t>All data fields have been formatted as requested;</w:t>
      </w:r>
    </w:p>
    <w:p w14:paraId="3A7A9F0B" w14:textId="77777777" w:rsidR="00FD67B0" w:rsidRDefault="00FD67B0" w:rsidP="00FD67B0">
      <w:pPr>
        <w:pStyle w:val="ListParagraph"/>
        <w:numPr>
          <w:ilvl w:val="0"/>
          <w:numId w:val="36"/>
        </w:numPr>
        <w:spacing w:line="276" w:lineRule="auto"/>
      </w:pPr>
      <w:r>
        <w:t>All data values are within acceptable parameters;</w:t>
      </w:r>
    </w:p>
    <w:p w14:paraId="1576D8B0" w14:textId="01043FC7" w:rsidR="00CA7EE3" w:rsidRDefault="00FD67B0" w:rsidP="00D80FF0">
      <w:pPr>
        <w:pStyle w:val="ListParagraph"/>
        <w:numPr>
          <w:ilvl w:val="0"/>
          <w:numId w:val="36"/>
        </w:numPr>
        <w:spacing w:line="276" w:lineRule="auto"/>
      </w:pPr>
      <w:r>
        <w:t>No records are included with Volume of $0;</w:t>
      </w:r>
      <w:r w:rsidR="00CA7EE3">
        <w:t>All death claims have been assigned a Cause of Death Grouping Number from 1 to 15;</w:t>
      </w:r>
    </w:p>
    <w:p w14:paraId="2AB8291D" w14:textId="426E1DB7" w:rsidR="00FD67B0" w:rsidRDefault="00FD67B0" w:rsidP="00CA7EE3">
      <w:pPr>
        <w:pStyle w:val="ListParagraph"/>
        <w:numPr>
          <w:ilvl w:val="0"/>
          <w:numId w:val="36"/>
        </w:numPr>
        <w:spacing w:line="276" w:lineRule="auto"/>
      </w:pPr>
      <w:r>
        <w:t xml:space="preserve">Waiver claims are recorded consistent with the indicated waiver provision for the group (i.e., there should only be waiver claims if the group has a waiver provision); </w:t>
      </w:r>
    </w:p>
    <w:p w14:paraId="760DF5BA" w14:textId="66424B8F" w:rsidR="00FD67B0" w:rsidRDefault="00FD67B0" w:rsidP="00FD67B0">
      <w:pPr>
        <w:pStyle w:val="ListParagraph"/>
        <w:numPr>
          <w:ilvl w:val="0"/>
          <w:numId w:val="36"/>
        </w:numPr>
        <w:spacing w:line="276" w:lineRule="auto"/>
      </w:pPr>
      <w:r>
        <w:t xml:space="preserve">Reporting of LTD with waiver reflects the treatment for each group and </w:t>
      </w:r>
      <w:r w:rsidRPr="000922B4">
        <w:rPr>
          <w:b/>
        </w:rPr>
        <w:t>NOT</w:t>
      </w:r>
      <w:r>
        <w:t xml:space="preserve"> your general company practice (i.e., </w:t>
      </w:r>
      <w:r w:rsidR="001759E4" w:rsidRPr="001759E4">
        <w:t>code as "Yes" only if there is some degree of coordination between the adjudication of waiver and LTD claims on the group</w:t>
      </w:r>
      <w:r>
        <w:t>); and</w:t>
      </w:r>
    </w:p>
    <w:p w14:paraId="1098E99E" w14:textId="77777777" w:rsidR="00FD67B0" w:rsidRDefault="00FD67B0" w:rsidP="00FD67B0">
      <w:pPr>
        <w:pStyle w:val="ListParagraph"/>
        <w:numPr>
          <w:ilvl w:val="0"/>
          <w:numId w:val="36"/>
        </w:numPr>
        <w:spacing w:line="276" w:lineRule="auto"/>
      </w:pPr>
      <w:r>
        <w:t>Multiple records on a single insured ID are as intended and not double counting (i.e., they may reflect different coverage amounts over time).</w:t>
      </w:r>
      <w:r>
        <w:br/>
      </w:r>
    </w:p>
    <w:p w14:paraId="55470E6A" w14:textId="77777777" w:rsidR="00FD67B0" w:rsidRDefault="00FD67B0" w:rsidP="00FD67B0">
      <w:pPr>
        <w:pStyle w:val="ListParagraph"/>
        <w:numPr>
          <w:ilvl w:val="0"/>
          <w:numId w:val="35"/>
        </w:numPr>
        <w:spacing w:line="276" w:lineRule="auto"/>
      </w:pPr>
      <w:r>
        <w:t xml:space="preserve">Review treatment of deaths from waiver claims and ensure: </w:t>
      </w:r>
    </w:p>
    <w:p w14:paraId="2200E54E" w14:textId="77777777" w:rsidR="00FD67B0" w:rsidRDefault="00FD67B0" w:rsidP="00FD67B0">
      <w:pPr>
        <w:pStyle w:val="ListParagraph"/>
        <w:numPr>
          <w:ilvl w:val="0"/>
          <w:numId w:val="37"/>
        </w:numPr>
        <w:spacing w:line="276" w:lineRule="auto"/>
      </w:pPr>
      <w:r>
        <w:t xml:space="preserve">Deaths of unapproved waiver claims within the elimination period have been included as deaths, </w:t>
      </w:r>
      <w:r w:rsidRPr="00556943">
        <w:rPr>
          <w:b/>
        </w:rPr>
        <w:t>NOT</w:t>
      </w:r>
      <w:r>
        <w:t xml:space="preserve"> waivers; and</w:t>
      </w:r>
    </w:p>
    <w:p w14:paraId="1769B14A" w14:textId="77777777" w:rsidR="00FD67B0" w:rsidRDefault="00FD67B0" w:rsidP="00FD67B0">
      <w:pPr>
        <w:pStyle w:val="ListParagraph"/>
        <w:numPr>
          <w:ilvl w:val="0"/>
          <w:numId w:val="37"/>
        </w:numPr>
        <w:spacing w:line="276" w:lineRule="auto"/>
      </w:pPr>
      <w:r>
        <w:t xml:space="preserve">Approved waiver claims have been included only as waiver claims </w:t>
      </w:r>
      <w:r w:rsidRPr="00F2459E">
        <w:t>(if the date of disability is in the study period)</w:t>
      </w:r>
      <w:r>
        <w:t xml:space="preserve"> and the death claim (when applicable) has </w:t>
      </w:r>
      <w:r w:rsidRPr="006F7C4F">
        <w:rPr>
          <w:b/>
        </w:rPr>
        <w:t>NOT</w:t>
      </w:r>
      <w:r>
        <w:t xml:space="preserve"> been included.  </w:t>
      </w:r>
      <w:r>
        <w:br/>
      </w:r>
    </w:p>
    <w:p w14:paraId="4CC31017" w14:textId="62388E42" w:rsidR="00FD67B0" w:rsidRDefault="00FD67B0" w:rsidP="00FD67B0">
      <w:pPr>
        <w:pStyle w:val="ListParagraph"/>
        <w:numPr>
          <w:ilvl w:val="0"/>
          <w:numId w:val="35"/>
        </w:numPr>
        <w:spacing w:line="276" w:lineRule="auto"/>
      </w:pPr>
      <w:r>
        <w:t xml:space="preserve">Check the data for outliers. Review for reasonableness the highest and the lowest values (at least 10 of each) for key items, such as: </w:t>
      </w:r>
    </w:p>
    <w:p w14:paraId="724D22A3" w14:textId="77777777" w:rsidR="00FD67B0" w:rsidRDefault="00FD67B0" w:rsidP="00FD67B0">
      <w:pPr>
        <w:pStyle w:val="ListParagraph"/>
        <w:numPr>
          <w:ilvl w:val="0"/>
          <w:numId w:val="38"/>
        </w:numPr>
        <w:spacing w:line="276" w:lineRule="auto"/>
      </w:pPr>
      <w:r>
        <w:t>All date fields;</w:t>
      </w:r>
    </w:p>
    <w:p w14:paraId="1436B0B8" w14:textId="77777777" w:rsidR="00FD67B0" w:rsidRDefault="00FD67B0" w:rsidP="00FD67B0">
      <w:pPr>
        <w:pStyle w:val="ListParagraph"/>
        <w:numPr>
          <w:ilvl w:val="0"/>
          <w:numId w:val="38"/>
        </w:numPr>
        <w:spacing w:line="276" w:lineRule="auto"/>
      </w:pPr>
      <w:r>
        <w:t>Salary;</w:t>
      </w:r>
    </w:p>
    <w:p w14:paraId="11262CBB" w14:textId="77777777" w:rsidR="00FD67B0" w:rsidRDefault="00FD67B0" w:rsidP="00FD67B0">
      <w:pPr>
        <w:pStyle w:val="ListParagraph"/>
        <w:numPr>
          <w:ilvl w:val="0"/>
          <w:numId w:val="38"/>
        </w:numPr>
        <w:spacing w:line="276" w:lineRule="auto"/>
      </w:pPr>
      <w:r>
        <w:t>Volume; and</w:t>
      </w:r>
    </w:p>
    <w:p w14:paraId="008ECA05" w14:textId="77777777" w:rsidR="00FD67B0" w:rsidRDefault="00FD67B0" w:rsidP="00FD67B0">
      <w:pPr>
        <w:pStyle w:val="ListParagraph"/>
        <w:numPr>
          <w:ilvl w:val="0"/>
          <w:numId w:val="38"/>
        </w:numPr>
        <w:spacing w:line="276" w:lineRule="auto"/>
      </w:pPr>
      <w:r>
        <w:t>Claim amount.</w:t>
      </w:r>
      <w:r>
        <w:br/>
      </w:r>
    </w:p>
    <w:p w14:paraId="00E8CB42" w14:textId="2EB65E02" w:rsidR="00FD67B0" w:rsidRDefault="00FD67B0" w:rsidP="00FD67B0">
      <w:pPr>
        <w:pStyle w:val="ListParagraph"/>
        <w:numPr>
          <w:ilvl w:val="0"/>
          <w:numId w:val="35"/>
        </w:numPr>
        <w:spacing w:line="276" w:lineRule="auto"/>
      </w:pPr>
      <w:r>
        <w:t>Perform a limited audit. For a sample of at least 10 records, review for accuracy the values for all data fields.</w:t>
      </w:r>
      <w:r>
        <w:br/>
      </w:r>
    </w:p>
    <w:p w14:paraId="7DCA413F" w14:textId="77777777" w:rsidR="00FD67B0" w:rsidRDefault="00FD67B0" w:rsidP="00FD67B0">
      <w:pPr>
        <w:pStyle w:val="ListParagraph"/>
        <w:numPr>
          <w:ilvl w:val="0"/>
          <w:numId w:val="35"/>
        </w:numPr>
        <w:spacing w:line="276" w:lineRule="auto"/>
      </w:pPr>
      <w:r>
        <w:t xml:space="preserve">Review distributions (to the extent feasible) to ensure that the submission has an appropriate distribution for items, such as: </w:t>
      </w:r>
    </w:p>
    <w:p w14:paraId="533601E9" w14:textId="77777777" w:rsidR="00FD67B0" w:rsidRDefault="00FD67B0" w:rsidP="00FD67B0">
      <w:pPr>
        <w:pStyle w:val="ListParagraph"/>
        <w:numPr>
          <w:ilvl w:val="0"/>
          <w:numId w:val="39"/>
        </w:numPr>
        <w:spacing w:line="276" w:lineRule="auto"/>
      </w:pPr>
      <w:r>
        <w:t xml:space="preserve">Age; </w:t>
      </w:r>
    </w:p>
    <w:p w14:paraId="59F42813" w14:textId="77777777" w:rsidR="00FD67B0" w:rsidRDefault="00FD67B0" w:rsidP="00FD67B0">
      <w:pPr>
        <w:pStyle w:val="ListParagraph"/>
        <w:numPr>
          <w:ilvl w:val="0"/>
          <w:numId w:val="39"/>
        </w:numPr>
        <w:spacing w:line="276" w:lineRule="auto"/>
      </w:pPr>
      <w:r>
        <w:t xml:space="preserve">Sex; </w:t>
      </w:r>
    </w:p>
    <w:p w14:paraId="06B25858" w14:textId="77777777" w:rsidR="00FD67B0" w:rsidRDefault="00FD67B0" w:rsidP="00FD67B0">
      <w:pPr>
        <w:pStyle w:val="ListParagraph"/>
        <w:numPr>
          <w:ilvl w:val="0"/>
          <w:numId w:val="39"/>
        </w:numPr>
        <w:spacing w:line="276" w:lineRule="auto"/>
      </w:pPr>
      <w:r>
        <w:t>Salary; and</w:t>
      </w:r>
    </w:p>
    <w:p w14:paraId="239DEAF6" w14:textId="1DB8AC19" w:rsidR="00AD50BC" w:rsidRDefault="00FD67B0" w:rsidP="00D90480">
      <w:pPr>
        <w:pStyle w:val="ListParagraph"/>
        <w:numPr>
          <w:ilvl w:val="0"/>
          <w:numId w:val="39"/>
        </w:numPr>
        <w:spacing w:after="0" w:line="276" w:lineRule="auto"/>
      </w:pPr>
      <w:r>
        <w:t>Volume.</w:t>
      </w:r>
    </w:p>
    <w:p w14:paraId="7C4BAECA" w14:textId="77777777" w:rsidR="00AD50BC" w:rsidRDefault="00AD50BC" w:rsidP="00AD50BC">
      <w:pPr>
        <w:pStyle w:val="ResBodyText"/>
      </w:pPr>
    </w:p>
    <w:p w14:paraId="478242B1" w14:textId="1675FE7B" w:rsidR="000E0FC2" w:rsidRDefault="000E0FC2">
      <w:pPr>
        <w:spacing w:after="160"/>
        <w:rPr>
          <w:rFonts w:ascii="Calibri" w:hAnsi="Calibri"/>
          <w:color w:val="024D7C"/>
          <w:sz w:val="28"/>
          <w:szCs w:val="26"/>
        </w:rPr>
      </w:pPr>
      <w:r w:rsidRPr="000E0FC2">
        <w:rPr>
          <w:rFonts w:ascii="Calibri" w:hAnsi="Calibri"/>
          <w:color w:val="024D7C"/>
          <w:sz w:val="28"/>
          <w:szCs w:val="26"/>
        </w:rPr>
        <w:lastRenderedPageBreak/>
        <w:t xml:space="preserve">Appendix </w:t>
      </w:r>
      <w:r w:rsidR="00D90480">
        <w:rPr>
          <w:rFonts w:ascii="Calibri" w:hAnsi="Calibri"/>
          <w:color w:val="024D7C"/>
          <w:sz w:val="28"/>
          <w:szCs w:val="26"/>
        </w:rPr>
        <w:t>C</w:t>
      </w:r>
      <w:r w:rsidRPr="000E0FC2">
        <w:rPr>
          <w:rFonts w:ascii="Calibri" w:hAnsi="Calibri"/>
          <w:color w:val="024D7C"/>
          <w:sz w:val="28"/>
          <w:szCs w:val="26"/>
        </w:rPr>
        <w:t xml:space="preserve"> - LLG Governing Information Security Policy</w:t>
      </w:r>
    </w:p>
    <w:p w14:paraId="0C5C7129" w14:textId="77777777" w:rsidR="000E0FC2" w:rsidRDefault="000E0FC2" w:rsidP="000E0FC2">
      <w:pPr>
        <w:spacing w:after="160"/>
      </w:pPr>
      <w:r>
        <w:t xml:space="preserve">LLG Information Technology has created and maintains a comprehensive information security program called Governing Information Security Policy for LLG. This program covers information security, risk assessment, and privacy for all LLG IT activities. The program ensures that LLG has in place adequate technical, administrative, and physical safeguards to protect sensitive information. LLG's Chief Information Security Officer is the owner of the program document, and reviews and updates it annually. </w:t>
      </w:r>
    </w:p>
    <w:p w14:paraId="516DE538" w14:textId="3B1AD3EB" w:rsidR="000E0FC2" w:rsidRPr="000E0FC2" w:rsidRDefault="00D756A9" w:rsidP="00D756A9">
      <w:pPr>
        <w:spacing w:before="360" w:after="60"/>
        <w:rPr>
          <w:rFonts w:asciiTheme="majorHAnsi" w:hAnsiTheme="majorHAnsi"/>
          <w:color w:val="000000" w:themeColor="text1"/>
          <w:sz w:val="21"/>
          <w:szCs w:val="26"/>
        </w:rPr>
      </w:pPr>
      <w:r w:rsidRPr="000E0FC2">
        <w:rPr>
          <w:rFonts w:asciiTheme="majorHAnsi" w:hAnsiTheme="majorHAnsi"/>
          <w:color w:val="000000" w:themeColor="text1"/>
          <w:sz w:val="21"/>
          <w:szCs w:val="26"/>
        </w:rPr>
        <w:t>1. ZERO TRUST ARCHITECTURE MODEL</w:t>
      </w:r>
    </w:p>
    <w:p w14:paraId="7FFF7F70" w14:textId="77777777" w:rsidR="000E0FC2" w:rsidRDefault="000E0FC2" w:rsidP="000E0FC2">
      <w:pPr>
        <w:spacing w:after="160"/>
      </w:pPr>
      <w:r>
        <w:t xml:space="preserve">LLG’s security model is centered on the belief that devices are not to automatically trusted inside or outside our perimeters. All connections must verify and continually be verified they meet a defined set of requirements before being granted access as well as ongoing access. </w:t>
      </w:r>
    </w:p>
    <w:p w14:paraId="07C8F3B0" w14:textId="6A34CB52" w:rsidR="000E0FC2" w:rsidRPr="000E0FC2" w:rsidRDefault="00D756A9" w:rsidP="00D756A9">
      <w:pPr>
        <w:spacing w:before="360" w:after="60"/>
        <w:rPr>
          <w:rFonts w:asciiTheme="majorHAnsi" w:hAnsiTheme="majorHAnsi"/>
          <w:color w:val="000000" w:themeColor="text1"/>
          <w:sz w:val="21"/>
          <w:szCs w:val="26"/>
        </w:rPr>
      </w:pPr>
      <w:r w:rsidRPr="000E0FC2">
        <w:rPr>
          <w:rFonts w:asciiTheme="majorHAnsi" w:hAnsiTheme="majorHAnsi"/>
          <w:color w:val="000000" w:themeColor="text1"/>
          <w:sz w:val="21"/>
          <w:szCs w:val="26"/>
        </w:rPr>
        <w:t xml:space="preserve">2. PHYSICAL SECURITY </w:t>
      </w:r>
    </w:p>
    <w:p w14:paraId="43394E20" w14:textId="36DD5566" w:rsidR="000E0FC2" w:rsidRDefault="000E0FC2" w:rsidP="000E0FC2">
      <w:pPr>
        <w:spacing w:after="160"/>
      </w:pPr>
      <w:r>
        <w:t xml:space="preserve">LLG has industry best practice physical controls to protect staff, information, and guard against intrusion theft, damage, and unauthorized access. A badge reader system controls access to LLG’s facilities, computer rooms, and areas where sensitive information is stored. Employees, contractors, and consultants have photo ID badges that must be prominently displayed. Visitors and third parties must be provided with badges that are prominently displayed at all times during their use of LLG’s buildings.  LLG IT maintains procedures to ensure that computer and communications rooms are secured and protected from fire. </w:t>
      </w:r>
    </w:p>
    <w:p w14:paraId="0876FB65" w14:textId="03A518BF" w:rsidR="000E0FC2" w:rsidRPr="00D756A9" w:rsidRDefault="00D756A9" w:rsidP="00D756A9">
      <w:pPr>
        <w:spacing w:before="360" w:after="60"/>
        <w:rPr>
          <w:rFonts w:asciiTheme="majorHAnsi" w:hAnsiTheme="majorHAnsi"/>
          <w:color w:val="000000" w:themeColor="text1"/>
          <w:sz w:val="21"/>
          <w:szCs w:val="26"/>
        </w:rPr>
      </w:pPr>
      <w:r w:rsidRPr="00D756A9">
        <w:rPr>
          <w:rFonts w:asciiTheme="majorHAnsi" w:hAnsiTheme="majorHAnsi"/>
          <w:color w:val="000000" w:themeColor="text1"/>
          <w:sz w:val="21"/>
          <w:szCs w:val="26"/>
        </w:rPr>
        <w:t xml:space="preserve">3. DATA STORAGE </w:t>
      </w:r>
    </w:p>
    <w:p w14:paraId="5796F608" w14:textId="77777777" w:rsidR="000E0FC2" w:rsidRDefault="000E0FC2" w:rsidP="000E0FC2">
      <w:pPr>
        <w:spacing w:after="160"/>
      </w:pPr>
      <w:r>
        <w:t xml:space="preserve">The physical storage location of data is Windsor, CT.  The core physical infrastructure that includes physical hardware asset management, security, data protection, and networking services is managed by LLG staff. All systems are managed, monitored, and operated by LLG. </w:t>
      </w:r>
    </w:p>
    <w:p w14:paraId="55696E6A" w14:textId="43D915A3" w:rsidR="000E0FC2" w:rsidRPr="00D756A9" w:rsidRDefault="00D756A9" w:rsidP="00D756A9">
      <w:pPr>
        <w:spacing w:before="360" w:after="60"/>
        <w:rPr>
          <w:rFonts w:asciiTheme="majorHAnsi" w:hAnsiTheme="majorHAnsi"/>
          <w:color w:val="000000" w:themeColor="text1"/>
          <w:sz w:val="21"/>
          <w:szCs w:val="26"/>
        </w:rPr>
      </w:pPr>
      <w:r w:rsidRPr="00D756A9">
        <w:rPr>
          <w:rFonts w:asciiTheme="majorHAnsi" w:hAnsiTheme="majorHAnsi"/>
          <w:color w:val="000000" w:themeColor="text1"/>
          <w:sz w:val="21"/>
          <w:szCs w:val="26"/>
        </w:rPr>
        <w:t xml:space="preserve">4. END-POINT PROTECTION </w:t>
      </w:r>
    </w:p>
    <w:p w14:paraId="48BDCCB9" w14:textId="77777777" w:rsidR="000E0FC2" w:rsidRDefault="000E0FC2" w:rsidP="000E0FC2">
      <w:pPr>
        <w:spacing w:after="160"/>
      </w:pPr>
      <w:r>
        <w:t xml:space="preserve">LLG Information Technology department develops, maintains, and revises as needed, a manual of procedures that govern the following: </w:t>
      </w:r>
    </w:p>
    <w:p w14:paraId="3463A47B" w14:textId="58F41E4A" w:rsidR="000E0FC2" w:rsidRDefault="000E0FC2" w:rsidP="000E0FC2">
      <w:pPr>
        <w:pStyle w:val="Listbullets"/>
        <w:numPr>
          <w:ilvl w:val="0"/>
          <w:numId w:val="23"/>
        </w:numPr>
      </w:pPr>
      <w:r>
        <w:t xml:space="preserve">Use of software to protect the computing environment from viruses and other malicious tools </w:t>
      </w:r>
    </w:p>
    <w:p w14:paraId="6DA9E344" w14:textId="78BE95AA" w:rsidR="000E0FC2" w:rsidRDefault="000E0FC2" w:rsidP="000E0FC2">
      <w:pPr>
        <w:pStyle w:val="Listbullets"/>
        <w:numPr>
          <w:ilvl w:val="0"/>
          <w:numId w:val="23"/>
        </w:numPr>
      </w:pPr>
      <w:r>
        <w:t xml:space="preserve">Updating the computing environment with “patches” for known vulnerabilities </w:t>
      </w:r>
    </w:p>
    <w:p w14:paraId="298086B7" w14:textId="579B0595" w:rsidR="000E0FC2" w:rsidRDefault="000E0FC2" w:rsidP="000E0FC2">
      <w:pPr>
        <w:pStyle w:val="Listbullets"/>
        <w:numPr>
          <w:ilvl w:val="0"/>
          <w:numId w:val="23"/>
        </w:numPr>
      </w:pPr>
      <w:r>
        <w:t xml:space="preserve">Restricting the ability of unprotected systems to access the environment </w:t>
      </w:r>
    </w:p>
    <w:p w14:paraId="14DDB46A" w14:textId="28B8831E" w:rsidR="001C0A30" w:rsidRPr="00601206" w:rsidRDefault="000E0FC2" w:rsidP="000E0FC2">
      <w:pPr>
        <w:pStyle w:val="Listbullets"/>
        <w:numPr>
          <w:ilvl w:val="0"/>
          <w:numId w:val="23"/>
        </w:numPr>
        <w:rPr>
          <w:rFonts w:ascii="Calibri" w:hAnsi="Calibri"/>
          <w:b/>
          <w:caps/>
          <w:color w:val="D23138"/>
          <w:sz w:val="21"/>
          <w:szCs w:val="26"/>
        </w:rPr>
      </w:pPr>
      <w:r>
        <w:t>Installed and running on all LLG connected computers is an industry approved end-point protection software program that is updated regularly.  Definitions are set to update daily.</w:t>
      </w:r>
      <w:r w:rsidR="001C0A30">
        <w:br w:type="page"/>
      </w:r>
    </w:p>
    <w:p w14:paraId="1235615B" w14:textId="7A1FED25" w:rsidR="001A79F0" w:rsidRPr="00ED60D5" w:rsidRDefault="001A79F0" w:rsidP="001A79F0">
      <w:pPr>
        <w:pStyle w:val="Heading1"/>
        <w:sectPr w:rsidR="001A79F0" w:rsidRPr="00ED60D5" w:rsidSect="00C641FD">
          <w:endnotePr>
            <w:numFmt w:val="decimal"/>
          </w:endnotePr>
          <w:type w:val="continuous"/>
          <w:pgSz w:w="12240" w:h="15840"/>
          <w:pgMar w:top="1440" w:right="1800" w:bottom="1440" w:left="1800" w:header="720" w:footer="576" w:gutter="0"/>
          <w:cols w:space="720"/>
          <w:docGrid w:linePitch="360"/>
        </w:sectPr>
      </w:pPr>
    </w:p>
    <w:p w14:paraId="46E2C873" w14:textId="77777777" w:rsidR="00CE5270" w:rsidRPr="004E56D3" w:rsidRDefault="00CE5270" w:rsidP="00CE5270">
      <w:pPr>
        <w:pStyle w:val="Heading1"/>
      </w:pPr>
      <w:bookmarkStart w:id="18" w:name="_Toc98504396"/>
      <w:r>
        <w:lastRenderedPageBreak/>
        <w:t>About The Society of Actuaries Research Institute</w:t>
      </w:r>
      <w:bookmarkEnd w:id="18"/>
    </w:p>
    <w:p w14:paraId="0530B7ED" w14:textId="77777777" w:rsidR="00CE5270" w:rsidRDefault="00CE5270" w:rsidP="00532FC8">
      <w:pPr>
        <w:pStyle w:val="Bodynormal"/>
        <w:rPr>
          <w:rStyle w:val="normaltextrun"/>
          <w:rFonts w:cs="Calibri Light"/>
          <w:color w:val="000000"/>
          <w:sz w:val="24"/>
          <w:szCs w:val="24"/>
          <w:shd w:val="clear" w:color="auto" w:fill="FFFFFF"/>
        </w:rPr>
      </w:pPr>
      <w:r>
        <w:t>Serving as the research arm of the Society of Actuaries (SOA), the SOA Research Institute provides objective, data-driven research bringing together tried and true practices and future-focused approaches to address societal challenges and your business needs. The Institute provides trusted knowledge, extensive experience and new technologies to help effectively identify, predict and manage risks.</w:t>
      </w:r>
    </w:p>
    <w:p w14:paraId="390CB1E6" w14:textId="77777777" w:rsidR="00CE5270" w:rsidRDefault="00CE5270" w:rsidP="00532FC8">
      <w:pPr>
        <w:pStyle w:val="Bodynormal"/>
        <w:rPr>
          <w:shd w:val="clear" w:color="auto" w:fill="FFFFFF"/>
        </w:rPr>
      </w:pPr>
      <w:r>
        <w:t xml:space="preserve">Representing the thousands of actuaries who help conduct critical research, the SOA Research Institute provides clarity and solutions on risks and societal </w:t>
      </w:r>
      <w:r w:rsidRPr="00CD5248">
        <w:rPr>
          <w:szCs w:val="20"/>
        </w:rPr>
        <w:t xml:space="preserve">challenges. </w:t>
      </w:r>
      <w:r w:rsidRPr="00CD5248">
        <w:rPr>
          <w:rStyle w:val="normaltextrun"/>
          <w:rFonts w:cs="Calibri Light"/>
          <w:color w:val="000000"/>
          <w:szCs w:val="20"/>
          <w:shd w:val="clear" w:color="auto" w:fill="FFFFFF"/>
        </w:rPr>
        <w:t xml:space="preserve">The Institute </w:t>
      </w:r>
      <w:r w:rsidRPr="00CD5248">
        <w:rPr>
          <w:szCs w:val="20"/>
        </w:rPr>
        <w:t>connects</w:t>
      </w:r>
      <w:r>
        <w:t xml:space="preserve"> actuaries, academics, employers, the insurance industry, regulators, research partners, foundations and research institutions, sponsors and non-governmental organizations, building an effective network which provides support, knowledge and expertise regarding the management of risk to benefit the industry and the public.</w:t>
      </w:r>
    </w:p>
    <w:p w14:paraId="3711A43D" w14:textId="77777777" w:rsidR="00CE5270" w:rsidRDefault="00CE5270" w:rsidP="00532FC8">
      <w:pPr>
        <w:pStyle w:val="Bodynormal"/>
      </w:pPr>
      <w:r>
        <w:t>Managed by experienced actuaries and research experts from a broad range of industries, the SOA Research Institute creates, funds, develops and distributes research to elevate actuaries as leaders in measuring and managing risk. These efforts include studies, essay collections, webcasts, research papers, survey reports, and original research on topics impacting society.</w:t>
      </w:r>
    </w:p>
    <w:p w14:paraId="3AD69047" w14:textId="77777777" w:rsidR="00CE5270" w:rsidRDefault="00CE5270" w:rsidP="00532FC8">
      <w:pPr>
        <w:pStyle w:val="Bodynormal"/>
      </w:pPr>
      <w:r>
        <w:rPr>
          <w:rStyle w:val="normaltextrun"/>
          <w:rFonts w:cs="Calibri Light"/>
          <w:color w:val="000000"/>
          <w:shd w:val="clear" w:color="auto" w:fill="FFFFFF"/>
        </w:rPr>
        <w:t xml:space="preserve">Harnessing its peer-reviewed research, leading-edge technologies, new data tools and innovative practices, the Institute seeks to </w:t>
      </w:r>
      <w:r>
        <w:t xml:space="preserve">understand </w:t>
      </w:r>
      <w:r>
        <w:rPr>
          <w:rStyle w:val="normaltextrun"/>
          <w:rFonts w:cs="Calibri Light"/>
          <w:color w:val="000000"/>
          <w:shd w:val="clear" w:color="auto" w:fill="FFFFFF"/>
        </w:rPr>
        <w:t xml:space="preserve">the underlying causes of risk and the possible outcomes. </w:t>
      </w:r>
      <w:r>
        <w:t xml:space="preserve">The Institute develops objective research spanning a variety of topics with its </w:t>
      </w:r>
      <w:hyperlink r:id="rId22" w:history="1">
        <w:r w:rsidRPr="00BC73DA">
          <w:rPr>
            <w:rStyle w:val="Hyperlink"/>
            <w:rFonts w:cs="Calibri Light"/>
          </w:rPr>
          <w:t>strategic research programs</w:t>
        </w:r>
      </w:hyperlink>
      <w:r>
        <w:t xml:space="preserve">: aging and retirement; actuarial innovation and technology; mortality and longevity; diversity, equity and inclusion; health care cost trends; and catastrophe and climate risk. The Institute has a large volume of </w:t>
      </w:r>
      <w:hyperlink r:id="rId23" w:history="1">
        <w:r w:rsidRPr="00BC73DA">
          <w:rPr>
            <w:rStyle w:val="Hyperlink"/>
            <w:rFonts w:cs="Calibri Light"/>
          </w:rPr>
          <w:t>topical research available</w:t>
        </w:r>
      </w:hyperlink>
      <w:r>
        <w:t>, including an expanding collection of international and market-specific research, experience studies, models and timely research.</w:t>
      </w:r>
    </w:p>
    <w:p w14:paraId="5469BEA5" w14:textId="77777777" w:rsidR="00CE5270" w:rsidRDefault="00CE5270" w:rsidP="00532FC8">
      <w:pPr>
        <w:pStyle w:val="Bodynormal"/>
      </w:pPr>
    </w:p>
    <w:p w14:paraId="77C3AB63" w14:textId="77777777" w:rsidR="00CE5270" w:rsidRPr="003B2C31" w:rsidRDefault="00CE5270" w:rsidP="00532FC8">
      <w:pPr>
        <w:pStyle w:val="Bodynormal"/>
      </w:pPr>
    </w:p>
    <w:p w14:paraId="2892E0F0" w14:textId="77777777" w:rsidR="00CE5270" w:rsidRPr="003B2C31" w:rsidRDefault="00CE5270" w:rsidP="00532FC8">
      <w:pPr>
        <w:pStyle w:val="Bodysinglespace"/>
        <w:jc w:val="center"/>
      </w:pPr>
      <w:r>
        <w:t>Society of Actuaries Research Institute</w:t>
      </w:r>
    </w:p>
    <w:p w14:paraId="25CC274A" w14:textId="77777777" w:rsidR="00F063FF" w:rsidRPr="003B2C31" w:rsidRDefault="00F063FF" w:rsidP="00532FC8">
      <w:pPr>
        <w:pStyle w:val="Bodysinglespace"/>
        <w:jc w:val="center"/>
      </w:pPr>
      <w:r w:rsidRPr="003B2C31">
        <w:t>475 N. Martingale Road, Suite 600</w:t>
      </w:r>
    </w:p>
    <w:p w14:paraId="240BFC07" w14:textId="77777777" w:rsidR="00F063FF" w:rsidRPr="003B2C31" w:rsidRDefault="00F063FF" w:rsidP="00532FC8">
      <w:pPr>
        <w:pStyle w:val="Bodysinglespace"/>
        <w:jc w:val="center"/>
      </w:pPr>
      <w:r w:rsidRPr="003B2C31">
        <w:t>Schaumburg, Illinois 60173</w:t>
      </w:r>
    </w:p>
    <w:p w14:paraId="7AD07095" w14:textId="77777777" w:rsidR="00F063FF" w:rsidRPr="003B2C31" w:rsidRDefault="00880690" w:rsidP="00532FC8">
      <w:pPr>
        <w:pStyle w:val="Bodysinglespace"/>
        <w:jc w:val="center"/>
      </w:pPr>
      <w:hyperlink r:id="rId24" w:history="1">
        <w:r w:rsidR="00CE5270" w:rsidRPr="006D6D53">
          <w:rPr>
            <w:rStyle w:val="Hyperlink"/>
          </w:rPr>
          <w:t>www.SOA.org</w:t>
        </w:r>
      </w:hyperlink>
    </w:p>
    <w:p w14:paraId="58167E81" w14:textId="77777777" w:rsidR="00D756A9" w:rsidRPr="00F961F8" w:rsidRDefault="00601206" w:rsidP="00D756A9">
      <w:pPr>
        <w:pStyle w:val="Heading1"/>
      </w:pPr>
      <w:r>
        <w:br w:type="page"/>
      </w:r>
      <w:bookmarkStart w:id="19" w:name="_Toc65065346"/>
      <w:bookmarkStart w:id="20" w:name="_Toc74840352"/>
      <w:bookmarkStart w:id="21" w:name="_Toc76459499"/>
      <w:bookmarkStart w:id="22" w:name="_Toc79583080"/>
      <w:bookmarkStart w:id="23" w:name="_Toc98504397"/>
      <w:r w:rsidR="00D756A9" w:rsidRPr="00F961F8">
        <w:lastRenderedPageBreak/>
        <w:t>About LIMRA</w:t>
      </w:r>
      <w:bookmarkEnd w:id="19"/>
      <w:bookmarkEnd w:id="20"/>
      <w:bookmarkEnd w:id="21"/>
      <w:bookmarkEnd w:id="22"/>
      <w:bookmarkEnd w:id="23"/>
    </w:p>
    <w:p w14:paraId="7200076F" w14:textId="77777777" w:rsidR="00D756A9" w:rsidRPr="00F961F8" w:rsidRDefault="00D756A9" w:rsidP="00D756A9">
      <w:pPr>
        <w:pStyle w:val="ResBodyText"/>
      </w:pPr>
      <w:r w:rsidRPr="00F961F8">
        <w:t xml:space="preserve">Established in 1916, LIMRA is a research and professional development not-for-profit trade association for the financial services industry. More than 600 insurance and financial services organizations around the world rely on LIMRA’s research and educational solutions to help them make bottom-line decisions with greater confidence. Companies look to LIMRA for its unique ability to help them understand their customers, markets, distribution channels and competitors and leverage that knowledge to develop realistic business solutions. </w:t>
      </w:r>
    </w:p>
    <w:p w14:paraId="062A0EBC" w14:textId="77777777" w:rsidR="00D756A9" w:rsidRPr="00F961F8" w:rsidRDefault="00D756A9" w:rsidP="00D756A9">
      <w:pPr>
        <w:pStyle w:val="ResBodyText"/>
        <w:jc w:val="center"/>
      </w:pPr>
      <w:r w:rsidRPr="00F961F8">
        <w:t xml:space="preserve">Visit LIMRA at </w:t>
      </w:r>
      <w:hyperlink r:id="rId25" w:history="1">
        <w:r w:rsidRPr="00F961F8">
          <w:rPr>
            <w:rStyle w:val="Hyperlink"/>
          </w:rPr>
          <w:t>www.limra.com</w:t>
        </w:r>
      </w:hyperlink>
      <w:r w:rsidRPr="00F961F8">
        <w:t>.</w:t>
      </w:r>
    </w:p>
    <w:p w14:paraId="297BEE61" w14:textId="1683FADF" w:rsidR="00601206" w:rsidRDefault="00601206">
      <w:pPr>
        <w:spacing w:after="160"/>
      </w:pPr>
    </w:p>
    <w:sectPr w:rsidR="00601206" w:rsidSect="00621F8F">
      <w:endnotePr>
        <w:numFmt w:val="decimal"/>
      </w:endnotePr>
      <w:type w:val="continuous"/>
      <w:pgSz w:w="12240" w:h="15840"/>
      <w:pgMar w:top="1440" w:right="1440" w:bottom="1440" w:left="1440" w:header="720" w:footer="5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FD7B09" w14:textId="77777777" w:rsidR="008043B1" w:rsidRDefault="008043B1" w:rsidP="004733D4">
      <w:r>
        <w:separator/>
      </w:r>
    </w:p>
    <w:p w14:paraId="0C66094D" w14:textId="77777777" w:rsidR="008043B1" w:rsidRDefault="008043B1" w:rsidP="004733D4"/>
  </w:endnote>
  <w:endnote w:type="continuationSeparator" w:id="0">
    <w:p w14:paraId="5285D56A" w14:textId="77777777" w:rsidR="008043B1" w:rsidRDefault="008043B1" w:rsidP="004733D4">
      <w:r>
        <w:continuationSeparator/>
      </w:r>
    </w:p>
    <w:p w14:paraId="735933F9" w14:textId="77777777" w:rsidR="008043B1" w:rsidRDefault="008043B1" w:rsidP="004733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embedRegular r:id="rId1" w:fontKey="{3CFF85F0-3B43-486E-8DA7-EEC1246E3F7F}"/>
  </w:font>
  <w:font w:name="Calibri Light">
    <w:panose1 w:val="020F0302020204030204"/>
    <w:charset w:val="00"/>
    <w:family w:val="swiss"/>
    <w:pitch w:val="variable"/>
    <w:sig w:usb0="E4002EFF" w:usb1="C000247B" w:usb2="00000009" w:usb3="00000000" w:csb0="000001FF" w:csb1="00000000"/>
    <w:embedRegular r:id="rId2" w:fontKey="{0E0AA607-6C8A-4336-9110-05F32D0CEFE6}"/>
    <w:embedBold r:id="rId3" w:fontKey="{335FE1BE-1244-464B-8BF1-4BD7D124FEB7}"/>
    <w:embedItalic r:id="rId4" w:fontKey="{51696ABC-85F1-4FF4-AF88-018048D8FD3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F95A967B-4489-4A36-B670-995C37635716}"/>
    <w:embedBold r:id="rId6" w:fontKey="{2019EF6E-139C-4533-8239-DF46F828EE28}"/>
    <w:embedItalic r:id="rId7" w:fontKey="{ED93B2D0-C1F2-4406-BE18-5CFF15B16540}"/>
  </w:font>
  <w:font w:name="SimHei">
    <w:altName w:val="黑体"/>
    <w:panose1 w:val="02010600030101010101"/>
    <w:charset w:val="86"/>
    <w:family w:val="modern"/>
    <w:pitch w:val="fixed"/>
    <w:sig w:usb0="800002BF" w:usb1="38CF7CFA" w:usb2="00000016" w:usb3="00000000" w:csb0="00040001" w:csb1="00000000"/>
  </w:font>
  <w:font w:name="Source Sans Pro Light">
    <w:altName w:val="Arial"/>
    <w:charset w:val="00"/>
    <w:family w:val="swiss"/>
    <w:pitch w:val="variable"/>
    <w:sig w:usb0="600002F7" w:usb1="02000001" w:usb2="00000000" w:usb3="00000000" w:csb0="0000019F" w:csb1="00000000"/>
    <w:embedRegular r:id="rId8" w:fontKey="{42171F6B-39D1-4827-9B8D-BC0523E817D0}"/>
  </w:font>
  <w:font w:name="Segoe UI">
    <w:panose1 w:val="020B0502040204020203"/>
    <w:charset w:val="00"/>
    <w:family w:val="swiss"/>
    <w:pitch w:val="variable"/>
    <w:sig w:usb0="E4002EFF" w:usb1="C000E47F" w:usb2="00000009" w:usb3="00000000" w:csb0="000001FF" w:csb1="00000000"/>
    <w:embedRegular r:id="rId9" w:fontKey="{FC98BB35-41EF-4418-89D6-A2B204E1FDEE}"/>
  </w:font>
  <w:font w:name="SimSun">
    <w:altName w:val="宋体"/>
    <w:panose1 w:val="02010600030101010101"/>
    <w:charset w:val="86"/>
    <w:family w:val="auto"/>
    <w:pitch w:val="variable"/>
    <w:sig w:usb0="00000003" w:usb1="288F0000" w:usb2="00000016" w:usb3="00000000" w:csb0="00040001" w:csb1="00000000"/>
  </w:font>
  <w:font w:name="Avenir LT Std 35 Light">
    <w:panose1 w:val="00000000000000000000"/>
    <w:charset w:val="00"/>
    <w:family w:val="swiss"/>
    <w:notTrueType/>
    <w:pitch w:val="variable"/>
    <w:sig w:usb0="800000AF" w:usb1="40002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33A92" w14:textId="77777777" w:rsidR="007E07E7" w:rsidRDefault="007E07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9E692" w14:textId="77777777" w:rsidR="00697AEC" w:rsidRDefault="00697AEC" w:rsidP="004733D4">
    <w:pPr>
      <w:pStyle w:val="Footer"/>
    </w:pPr>
  </w:p>
  <w:p w14:paraId="57FF6FCD" w14:textId="1AF0CA05" w:rsidR="00697AEC" w:rsidRPr="00A80A92" w:rsidRDefault="008D03EA" w:rsidP="008D03EA">
    <w:pPr>
      <w:pStyle w:val="Footer"/>
      <w:ind w:left="0"/>
      <w:jc w:val="right"/>
    </w:pPr>
    <w:r>
      <w:t xml:space="preserve">Copyright </w:t>
    </w:r>
    <w:r w:rsidRPr="00A80A92">
      <w:t>©</w:t>
    </w:r>
    <w:r>
      <w:t xml:space="preserve"> </w:t>
    </w:r>
    <w:r w:rsidRPr="00A80A92">
      <w:t>20</w:t>
    </w:r>
    <w:r>
      <w:t>2</w:t>
    </w:r>
    <w:r w:rsidR="00634B3F">
      <w:t>3</w:t>
    </w:r>
    <w:r w:rsidRPr="00A80A92">
      <w:t xml:space="preserve"> Society of Actuaries</w:t>
    </w:r>
    <w:r>
      <w:t xml:space="preserve"> Research Institute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B6491" w14:textId="77777777" w:rsidR="007E07E7" w:rsidRDefault="007E07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B86013" w14:textId="77777777" w:rsidR="008043B1" w:rsidRDefault="008043B1" w:rsidP="004733D4">
      <w:r>
        <w:separator/>
      </w:r>
    </w:p>
    <w:p w14:paraId="444A90F1" w14:textId="77777777" w:rsidR="008043B1" w:rsidRDefault="008043B1" w:rsidP="004733D4"/>
  </w:footnote>
  <w:footnote w:type="continuationSeparator" w:id="0">
    <w:p w14:paraId="5DE01CAD" w14:textId="77777777" w:rsidR="008043B1" w:rsidRDefault="008043B1" w:rsidP="004733D4">
      <w:r>
        <w:continuationSeparator/>
      </w:r>
    </w:p>
    <w:p w14:paraId="79B90484" w14:textId="77777777" w:rsidR="008043B1" w:rsidRDefault="008043B1" w:rsidP="004733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69D4C" w14:textId="77777777" w:rsidR="00697AEC" w:rsidRDefault="00697AEC" w:rsidP="004733D4">
    <w:pPr>
      <w:pStyle w:val="Header"/>
    </w:pPr>
  </w:p>
  <w:p w14:paraId="483D3152" w14:textId="77777777" w:rsidR="00697AEC" w:rsidRDefault="00697AEC" w:rsidP="004733D4"/>
  <w:p w14:paraId="6E99DFEB" w14:textId="77777777" w:rsidR="00697AEC" w:rsidRDefault="00697AEC" w:rsidP="004733D4"/>
  <w:p w14:paraId="20301F01" w14:textId="77777777" w:rsidR="00697AEC" w:rsidRDefault="00697AEC" w:rsidP="004733D4"/>
  <w:p w14:paraId="71221ABD" w14:textId="77777777" w:rsidR="00697AEC" w:rsidRDefault="00697AEC" w:rsidP="004733D4"/>
  <w:p w14:paraId="4468B966" w14:textId="77777777" w:rsidR="00697AEC" w:rsidRDefault="00697AEC" w:rsidP="004733D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41BDDD" w14:textId="2A4B02FC" w:rsidR="00697AEC" w:rsidRPr="00A80A92" w:rsidRDefault="009E4FA2" w:rsidP="009E4FA2">
    <w:pPr>
      <w:pStyle w:val="Header"/>
      <w:tabs>
        <w:tab w:val="clear" w:pos="9360"/>
        <w:tab w:val="right" w:pos="9000"/>
      </w:tabs>
      <w:ind w:right="-360"/>
      <w:jc w:val="center"/>
    </w:pPr>
    <w:r>
      <w:tab/>
    </w:r>
    <w:r>
      <w:tab/>
    </w:r>
    <w:r w:rsidR="00697AEC" w:rsidRPr="00A80A92">
      <w:fldChar w:fldCharType="begin"/>
    </w:r>
    <w:r w:rsidR="00697AEC" w:rsidRPr="00A80A92">
      <w:instrText xml:space="preserve"> PAGE   \* MERGEFORMAT </w:instrText>
    </w:r>
    <w:r w:rsidR="00697AEC" w:rsidRPr="00A80A92">
      <w:fldChar w:fldCharType="separate"/>
    </w:r>
    <w:r w:rsidR="00114DAF">
      <w:t>16</w:t>
    </w:r>
    <w:r w:rsidR="00697AEC" w:rsidRPr="00A80A92">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B7AEF" w14:textId="77777777" w:rsidR="007E07E7" w:rsidRDefault="007E07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279C01A2"/>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5B62300C"/>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4BC2E686"/>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55B094CE"/>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59441FE8"/>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2ECC8F7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B607598"/>
    <w:lvl w:ilvl="0">
      <w:start w:val="1"/>
      <w:numFmt w:val="bullet"/>
      <w:lvlText w:val=""/>
      <w:lvlJc w:val="left"/>
      <w:pPr>
        <w:tabs>
          <w:tab w:val="num" w:pos="360"/>
        </w:tabs>
        <w:ind w:left="360" w:hanging="360"/>
      </w:pPr>
      <w:rPr>
        <w:rFonts w:ascii="Symbol" w:hAnsi="Symbol" w:hint="default"/>
        <w:sz w:val="16"/>
      </w:rPr>
    </w:lvl>
  </w:abstractNum>
  <w:abstractNum w:abstractNumId="7" w15:restartNumberingAfterBreak="0">
    <w:nsid w:val="02300E7A"/>
    <w:multiLevelType w:val="hybridMultilevel"/>
    <w:tmpl w:val="D82EF1FA"/>
    <w:lvl w:ilvl="0" w:tplc="DF848BE8">
      <w:numFmt w:val="bullet"/>
      <w:lvlText w:val="·"/>
      <w:lvlJc w:val="left"/>
      <w:pPr>
        <w:ind w:left="720" w:hanging="360"/>
      </w:pPr>
      <w:rPr>
        <w:rFonts w:ascii="Open Sans" w:eastAsiaTheme="minorHAnsi"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3F1CF0"/>
    <w:multiLevelType w:val="hybridMultilevel"/>
    <w:tmpl w:val="0EC27118"/>
    <w:lvl w:ilvl="0" w:tplc="FFFFFFFF">
      <w:start w:val="1"/>
      <w:numFmt w:val="bullet"/>
      <w:lvlText w:val=""/>
      <w:lvlJc w:val="left"/>
      <w:pPr>
        <w:ind w:left="720" w:hanging="360"/>
      </w:pPr>
      <w:rPr>
        <w:rFonts w:ascii="Symbol" w:hAnsi="Symbol" w:hint="default"/>
        <w:color w:val="auto"/>
      </w:rPr>
    </w:lvl>
    <w:lvl w:ilvl="1" w:tplc="FFFFFFFF">
      <w:start w:val="1"/>
      <w:numFmt w:val="bullet"/>
      <w:lvlText w:val="o"/>
      <w:lvlJc w:val="left"/>
      <w:pPr>
        <w:ind w:left="1440" w:hanging="360"/>
      </w:pPr>
      <w:rPr>
        <w:rFonts w:ascii="Courier New" w:hAnsi="Courier New" w:cs="Courier New" w:hint="default"/>
      </w:rPr>
    </w:lvl>
    <w:lvl w:ilvl="2" w:tplc="5114EF60">
      <w:numFmt w:val="bullet"/>
      <w:lvlText w:val="•"/>
      <w:lvlJc w:val="left"/>
      <w:pPr>
        <w:ind w:left="2160" w:hanging="360"/>
      </w:pPr>
      <w:rPr>
        <w:rFonts w:ascii="Calibri Light" w:eastAsiaTheme="minorHAnsi" w:hAnsi="Calibri Light"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9287513"/>
    <w:multiLevelType w:val="hybridMultilevel"/>
    <w:tmpl w:val="39CCC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0132BC"/>
    <w:multiLevelType w:val="hybridMultilevel"/>
    <w:tmpl w:val="0E66BE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79C7078"/>
    <w:multiLevelType w:val="hybridMultilevel"/>
    <w:tmpl w:val="D41A9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E258EA"/>
    <w:multiLevelType w:val="hybridMultilevel"/>
    <w:tmpl w:val="7F7C2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ED26A8"/>
    <w:multiLevelType w:val="hybridMultilevel"/>
    <w:tmpl w:val="7E260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E0326C"/>
    <w:multiLevelType w:val="hybridMultilevel"/>
    <w:tmpl w:val="6FE40436"/>
    <w:lvl w:ilvl="0" w:tplc="70201938">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F4E0DBDE">
      <w:numFmt w:val="bullet"/>
      <w:lvlText w:val="•"/>
      <w:lvlJc w:val="left"/>
      <w:pPr>
        <w:ind w:left="1440" w:firstLine="360"/>
      </w:pPr>
      <w:rPr>
        <w:rFonts w:ascii="Calibri Light" w:eastAsiaTheme="minorHAnsi" w:hAnsi="Calibri Light"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581D04"/>
    <w:multiLevelType w:val="hybridMultilevel"/>
    <w:tmpl w:val="83BEA5D0"/>
    <w:lvl w:ilvl="0" w:tplc="A10E3444">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F237D5"/>
    <w:multiLevelType w:val="hybridMultilevel"/>
    <w:tmpl w:val="74902D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55D0953"/>
    <w:multiLevelType w:val="hybridMultilevel"/>
    <w:tmpl w:val="64383216"/>
    <w:lvl w:ilvl="0" w:tplc="644082FC">
      <w:numFmt w:val="bullet"/>
      <w:lvlText w:val="·"/>
      <w:lvlJc w:val="left"/>
      <w:pPr>
        <w:ind w:left="1440" w:hanging="720"/>
      </w:pPr>
      <w:rPr>
        <w:rFonts w:ascii="Calibri Light" w:eastAsiaTheme="minorHAnsi" w:hAnsi="Calibri Light" w:cs="Calibri Ligh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6FC41D3"/>
    <w:multiLevelType w:val="hybridMultilevel"/>
    <w:tmpl w:val="6DC0BE82"/>
    <w:lvl w:ilvl="0" w:tplc="FFFFFFFF">
      <w:start w:val="1"/>
      <w:numFmt w:val="bullet"/>
      <w:lvlText w:val=""/>
      <w:lvlJc w:val="left"/>
      <w:pPr>
        <w:ind w:left="720" w:hanging="360"/>
      </w:pPr>
      <w:rPr>
        <w:rFonts w:ascii="Symbol" w:hAnsi="Symbol" w:hint="default"/>
        <w:color w:val="auto"/>
      </w:rPr>
    </w:lvl>
    <w:lvl w:ilvl="1" w:tplc="FFFFFFFF">
      <w:start w:val="1"/>
      <w:numFmt w:val="bullet"/>
      <w:lvlText w:val="o"/>
      <w:lvlJc w:val="left"/>
      <w:pPr>
        <w:ind w:left="1440" w:hanging="360"/>
      </w:pPr>
      <w:rPr>
        <w:rFonts w:ascii="Courier New" w:hAnsi="Courier New" w:cs="Courier New" w:hint="default"/>
      </w:rPr>
    </w:lvl>
    <w:lvl w:ilvl="2" w:tplc="4ABEEEE6">
      <w:numFmt w:val="bullet"/>
      <w:lvlText w:val="•"/>
      <w:lvlJc w:val="left"/>
      <w:pPr>
        <w:ind w:left="2160" w:hanging="360"/>
      </w:pPr>
      <w:rPr>
        <w:rFonts w:ascii="Calibri Light" w:eastAsiaTheme="minorHAnsi" w:hAnsi="Calibri Light"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80455F2"/>
    <w:multiLevelType w:val="hybridMultilevel"/>
    <w:tmpl w:val="EFCAC6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2D7F2794"/>
    <w:multiLevelType w:val="hybridMultilevel"/>
    <w:tmpl w:val="32869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DD2C45"/>
    <w:multiLevelType w:val="hybridMultilevel"/>
    <w:tmpl w:val="33082E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8633D45"/>
    <w:multiLevelType w:val="hybridMultilevel"/>
    <w:tmpl w:val="08EA4558"/>
    <w:lvl w:ilvl="0" w:tplc="92D8E5F0">
      <w:start w:val="1"/>
      <w:numFmt w:val="decimal"/>
      <w:pStyle w:val="List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597527"/>
    <w:multiLevelType w:val="hybridMultilevel"/>
    <w:tmpl w:val="45263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F7A52CC"/>
    <w:multiLevelType w:val="hybridMultilevel"/>
    <w:tmpl w:val="55FE8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A53EBB"/>
    <w:multiLevelType w:val="hybridMultilevel"/>
    <w:tmpl w:val="182CB482"/>
    <w:lvl w:ilvl="0" w:tplc="FFFFFFFF">
      <w:start w:val="1"/>
      <w:numFmt w:val="bullet"/>
      <w:lvlText w:val=""/>
      <w:lvlJc w:val="left"/>
      <w:pPr>
        <w:ind w:left="720" w:hanging="360"/>
      </w:pPr>
      <w:rPr>
        <w:rFonts w:ascii="Symbol" w:hAnsi="Symbol" w:hint="default"/>
        <w:color w:val="auto"/>
      </w:rPr>
    </w:lvl>
    <w:lvl w:ilvl="1" w:tplc="FFFFFFFF">
      <w:start w:val="1"/>
      <w:numFmt w:val="bullet"/>
      <w:lvlText w:val="o"/>
      <w:lvlJc w:val="left"/>
      <w:pPr>
        <w:ind w:left="1440" w:hanging="360"/>
      </w:pPr>
      <w:rPr>
        <w:rFonts w:ascii="Courier New" w:hAnsi="Courier New" w:cs="Courier New" w:hint="default"/>
      </w:rPr>
    </w:lvl>
    <w:lvl w:ilvl="2" w:tplc="9996899A">
      <w:numFmt w:val="bullet"/>
      <w:lvlText w:val="•"/>
      <w:lvlJc w:val="left"/>
      <w:pPr>
        <w:ind w:left="1440" w:firstLine="360"/>
      </w:pPr>
      <w:rPr>
        <w:rFonts w:ascii="Calibri Light" w:eastAsiaTheme="minorHAnsi" w:hAnsi="Calibri Light"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3E25BB0"/>
    <w:multiLevelType w:val="hybridMultilevel"/>
    <w:tmpl w:val="88F20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880886"/>
    <w:multiLevelType w:val="hybridMultilevel"/>
    <w:tmpl w:val="F30843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26750D3"/>
    <w:multiLevelType w:val="hybridMultilevel"/>
    <w:tmpl w:val="FCD2C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5E7EE7"/>
    <w:multiLevelType w:val="hybridMultilevel"/>
    <w:tmpl w:val="32765C34"/>
    <w:lvl w:ilvl="0" w:tplc="04090001">
      <w:start w:val="1"/>
      <w:numFmt w:val="bullet"/>
      <w:lvlText w:val=""/>
      <w:lvlJc w:val="left"/>
      <w:pPr>
        <w:ind w:left="1080" w:hanging="72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A882D20"/>
    <w:multiLevelType w:val="multilevel"/>
    <w:tmpl w:val="F34C51B2"/>
    <w:lvl w:ilvl="0">
      <w:start w:val="1"/>
      <w:numFmt w:val="bullet"/>
      <w:lvlText w:val=""/>
      <w:lvlJc w:val="left"/>
      <w:pPr>
        <w:tabs>
          <w:tab w:val="num" w:pos="360"/>
        </w:tabs>
        <w:ind w:left="720" w:hanging="360"/>
      </w:pPr>
      <w:rPr>
        <w:rFonts w:ascii="Symbol" w:hAnsi="Symbol" w:hint="default"/>
        <w:sz w:val="16"/>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1800" w:hanging="360"/>
      </w:pPr>
      <w:rPr>
        <w:rFonts w:ascii="Calibri Light" w:hAnsi="Calibri Light"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C9678AB"/>
    <w:multiLevelType w:val="hybridMultilevel"/>
    <w:tmpl w:val="01B6E1F6"/>
    <w:lvl w:ilvl="0" w:tplc="04090001">
      <w:start w:val="1"/>
      <w:numFmt w:val="bullet"/>
      <w:lvlText w:val=""/>
      <w:lvlJc w:val="left"/>
      <w:pPr>
        <w:ind w:left="1440" w:hanging="72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D9B2819"/>
    <w:multiLevelType w:val="hybridMultilevel"/>
    <w:tmpl w:val="60562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694F6A"/>
    <w:multiLevelType w:val="hybridMultilevel"/>
    <w:tmpl w:val="0EE84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9C18C3"/>
    <w:multiLevelType w:val="hybridMultilevel"/>
    <w:tmpl w:val="5F2E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8E39B3"/>
    <w:multiLevelType w:val="hybridMultilevel"/>
    <w:tmpl w:val="E93E9E9A"/>
    <w:lvl w:ilvl="0" w:tplc="6E145A20">
      <w:start w:val="27"/>
      <w:numFmt w:val="bullet"/>
      <w:lvlText w:val="·"/>
      <w:lvlJc w:val="left"/>
      <w:pPr>
        <w:ind w:left="720" w:hanging="360"/>
      </w:pPr>
      <w:rPr>
        <w:rFonts w:ascii="Open Sans" w:eastAsiaTheme="minorHAnsi" w:hAnsi="Open Sans"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900765">
    <w:abstractNumId w:val="23"/>
  </w:num>
  <w:num w:numId="2" w16cid:durableId="452746299">
    <w:abstractNumId w:val="7"/>
  </w:num>
  <w:num w:numId="3" w16cid:durableId="1315258811">
    <w:abstractNumId w:val="6"/>
  </w:num>
  <w:num w:numId="4" w16cid:durableId="206727698">
    <w:abstractNumId w:val="4"/>
  </w:num>
  <w:num w:numId="5" w16cid:durableId="1440759243">
    <w:abstractNumId w:val="3"/>
  </w:num>
  <w:num w:numId="6" w16cid:durableId="1244682142">
    <w:abstractNumId w:val="2"/>
  </w:num>
  <w:num w:numId="7" w16cid:durableId="2086758817">
    <w:abstractNumId w:val="1"/>
  </w:num>
  <w:num w:numId="8" w16cid:durableId="1134761394">
    <w:abstractNumId w:val="5"/>
  </w:num>
  <w:num w:numId="9" w16cid:durableId="1884906792">
    <w:abstractNumId w:val="0"/>
  </w:num>
  <w:num w:numId="10" w16cid:durableId="699553729">
    <w:abstractNumId w:val="13"/>
  </w:num>
  <w:num w:numId="11" w16cid:durableId="697897599">
    <w:abstractNumId w:val="16"/>
  </w:num>
  <w:num w:numId="12" w16cid:durableId="1111170605">
    <w:abstractNumId w:val="11"/>
  </w:num>
  <w:num w:numId="13" w16cid:durableId="1362051079">
    <w:abstractNumId w:val="24"/>
  </w:num>
  <w:num w:numId="14" w16cid:durableId="1121529401">
    <w:abstractNumId w:val="35"/>
  </w:num>
  <w:num w:numId="15" w16cid:durableId="1162547792">
    <w:abstractNumId w:val="22"/>
  </w:num>
  <w:num w:numId="16" w16cid:durableId="1778328195">
    <w:abstractNumId w:val="6"/>
    <w:lvlOverride w:ilvl="0">
      <w:startOverride w:val="1"/>
    </w:lvlOverride>
  </w:num>
  <w:num w:numId="17" w16cid:durableId="18821714">
    <w:abstractNumId w:val="30"/>
  </w:num>
  <w:num w:numId="18" w16cid:durableId="1502506625">
    <w:abstractNumId w:val="12"/>
  </w:num>
  <w:num w:numId="19" w16cid:durableId="481386075">
    <w:abstractNumId w:val="30"/>
  </w:num>
  <w:num w:numId="20" w16cid:durableId="1180122141">
    <w:abstractNumId w:val="30"/>
  </w:num>
  <w:num w:numId="21" w16cid:durableId="78214858">
    <w:abstractNumId w:val="21"/>
  </w:num>
  <w:num w:numId="22" w16cid:durableId="1188641004">
    <w:abstractNumId w:val="15"/>
  </w:num>
  <w:num w:numId="23" w16cid:durableId="931476047">
    <w:abstractNumId w:val="14"/>
  </w:num>
  <w:num w:numId="24" w16cid:durableId="897976355">
    <w:abstractNumId w:val="9"/>
  </w:num>
  <w:num w:numId="25" w16cid:durableId="453795149">
    <w:abstractNumId w:val="29"/>
  </w:num>
  <w:num w:numId="26" w16cid:durableId="1990281687">
    <w:abstractNumId w:val="19"/>
  </w:num>
  <w:num w:numId="27" w16cid:durableId="970553539">
    <w:abstractNumId w:val="17"/>
  </w:num>
  <w:num w:numId="28" w16cid:durableId="942031599">
    <w:abstractNumId w:val="31"/>
  </w:num>
  <w:num w:numId="29" w16cid:durableId="1224826051">
    <w:abstractNumId w:val="10"/>
  </w:num>
  <w:num w:numId="30" w16cid:durableId="1408262073">
    <w:abstractNumId w:val="25"/>
  </w:num>
  <w:num w:numId="31" w16cid:durableId="2023898647">
    <w:abstractNumId w:val="18"/>
  </w:num>
  <w:num w:numId="32" w16cid:durableId="1816796658">
    <w:abstractNumId w:val="8"/>
  </w:num>
  <w:num w:numId="33" w16cid:durableId="1934165890">
    <w:abstractNumId w:val="33"/>
  </w:num>
  <w:num w:numId="34" w16cid:durableId="848565694">
    <w:abstractNumId w:val="32"/>
  </w:num>
  <w:num w:numId="35" w16cid:durableId="1933472582">
    <w:abstractNumId w:val="27"/>
  </w:num>
  <w:num w:numId="36" w16cid:durableId="183249140">
    <w:abstractNumId w:val="26"/>
  </w:num>
  <w:num w:numId="37" w16cid:durableId="1627732466">
    <w:abstractNumId w:val="34"/>
  </w:num>
  <w:num w:numId="38" w16cid:durableId="820776513">
    <w:abstractNumId w:val="28"/>
  </w:num>
  <w:num w:numId="39" w16cid:durableId="35188616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7D71"/>
    <w:rsid w:val="000009A8"/>
    <w:rsid w:val="0000600E"/>
    <w:rsid w:val="00007568"/>
    <w:rsid w:val="00020027"/>
    <w:rsid w:val="000204B7"/>
    <w:rsid w:val="00021864"/>
    <w:rsid w:val="000228DB"/>
    <w:rsid w:val="00022952"/>
    <w:rsid w:val="000233AF"/>
    <w:rsid w:val="00026C5F"/>
    <w:rsid w:val="00026CB9"/>
    <w:rsid w:val="00033856"/>
    <w:rsid w:val="00034361"/>
    <w:rsid w:val="000374EA"/>
    <w:rsid w:val="00040DA2"/>
    <w:rsid w:val="00057B93"/>
    <w:rsid w:val="00065DEE"/>
    <w:rsid w:val="00067558"/>
    <w:rsid w:val="00067D6E"/>
    <w:rsid w:val="00071776"/>
    <w:rsid w:val="00072D8D"/>
    <w:rsid w:val="00076875"/>
    <w:rsid w:val="0007746E"/>
    <w:rsid w:val="00085C1C"/>
    <w:rsid w:val="00093F2F"/>
    <w:rsid w:val="000962F0"/>
    <w:rsid w:val="000A0F52"/>
    <w:rsid w:val="000B717F"/>
    <w:rsid w:val="000C7742"/>
    <w:rsid w:val="000E06E2"/>
    <w:rsid w:val="000E0FC2"/>
    <w:rsid w:val="000F456E"/>
    <w:rsid w:val="000F4647"/>
    <w:rsid w:val="000F4EFE"/>
    <w:rsid w:val="00100DAF"/>
    <w:rsid w:val="00103813"/>
    <w:rsid w:val="00111DA2"/>
    <w:rsid w:val="00112707"/>
    <w:rsid w:val="00113616"/>
    <w:rsid w:val="00114DAF"/>
    <w:rsid w:val="00122EC2"/>
    <w:rsid w:val="00131B17"/>
    <w:rsid w:val="00131F89"/>
    <w:rsid w:val="00134570"/>
    <w:rsid w:val="00137B57"/>
    <w:rsid w:val="001414F5"/>
    <w:rsid w:val="00142993"/>
    <w:rsid w:val="00142D56"/>
    <w:rsid w:val="001478A5"/>
    <w:rsid w:val="00153234"/>
    <w:rsid w:val="00153249"/>
    <w:rsid w:val="00164CB1"/>
    <w:rsid w:val="0016526A"/>
    <w:rsid w:val="00170C4B"/>
    <w:rsid w:val="001759E4"/>
    <w:rsid w:val="00184D43"/>
    <w:rsid w:val="00184E27"/>
    <w:rsid w:val="00185096"/>
    <w:rsid w:val="00194248"/>
    <w:rsid w:val="001A6516"/>
    <w:rsid w:val="001A79F0"/>
    <w:rsid w:val="001B3C51"/>
    <w:rsid w:val="001C0A30"/>
    <w:rsid w:val="001C0D70"/>
    <w:rsid w:val="001C57CA"/>
    <w:rsid w:val="001C75BA"/>
    <w:rsid w:val="001D2A47"/>
    <w:rsid w:val="001D4D4E"/>
    <w:rsid w:val="001E0298"/>
    <w:rsid w:val="001E58CE"/>
    <w:rsid w:val="001F11E6"/>
    <w:rsid w:val="0021139F"/>
    <w:rsid w:val="0021161E"/>
    <w:rsid w:val="00213DB8"/>
    <w:rsid w:val="002165B3"/>
    <w:rsid w:val="00224AD6"/>
    <w:rsid w:val="00224DF7"/>
    <w:rsid w:val="0022623C"/>
    <w:rsid w:val="00227D71"/>
    <w:rsid w:val="002303FA"/>
    <w:rsid w:val="00232FDB"/>
    <w:rsid w:val="0023623D"/>
    <w:rsid w:val="002406ED"/>
    <w:rsid w:val="0024078F"/>
    <w:rsid w:val="00240A83"/>
    <w:rsid w:val="0024195B"/>
    <w:rsid w:val="002445CC"/>
    <w:rsid w:val="00245C43"/>
    <w:rsid w:val="002469A6"/>
    <w:rsid w:val="002605A3"/>
    <w:rsid w:val="00267C39"/>
    <w:rsid w:val="00270A12"/>
    <w:rsid w:val="00270F05"/>
    <w:rsid w:val="0028394A"/>
    <w:rsid w:val="002916DD"/>
    <w:rsid w:val="00294741"/>
    <w:rsid w:val="002964B1"/>
    <w:rsid w:val="0029680C"/>
    <w:rsid w:val="002A40A5"/>
    <w:rsid w:val="002A4FF1"/>
    <w:rsid w:val="002A73BC"/>
    <w:rsid w:val="002A748E"/>
    <w:rsid w:val="002B43B1"/>
    <w:rsid w:val="002B5820"/>
    <w:rsid w:val="002B5B5D"/>
    <w:rsid w:val="002B674E"/>
    <w:rsid w:val="002C3EE6"/>
    <w:rsid w:val="002D2716"/>
    <w:rsid w:val="002D32F2"/>
    <w:rsid w:val="002E450A"/>
    <w:rsid w:val="002E5BCB"/>
    <w:rsid w:val="002F110F"/>
    <w:rsid w:val="002F633B"/>
    <w:rsid w:val="00300F2C"/>
    <w:rsid w:val="00303EEE"/>
    <w:rsid w:val="00304AF1"/>
    <w:rsid w:val="0030598B"/>
    <w:rsid w:val="00310DD7"/>
    <w:rsid w:val="0031138D"/>
    <w:rsid w:val="003114E1"/>
    <w:rsid w:val="00313E32"/>
    <w:rsid w:val="003143FD"/>
    <w:rsid w:val="00322C86"/>
    <w:rsid w:val="00327A63"/>
    <w:rsid w:val="00334AF6"/>
    <w:rsid w:val="00340DC4"/>
    <w:rsid w:val="0034353F"/>
    <w:rsid w:val="003472E3"/>
    <w:rsid w:val="0035413E"/>
    <w:rsid w:val="00361EAF"/>
    <w:rsid w:val="0036282C"/>
    <w:rsid w:val="003646C1"/>
    <w:rsid w:val="00367DF3"/>
    <w:rsid w:val="00372A7C"/>
    <w:rsid w:val="00373757"/>
    <w:rsid w:val="00373B46"/>
    <w:rsid w:val="00376151"/>
    <w:rsid w:val="00376672"/>
    <w:rsid w:val="00392B71"/>
    <w:rsid w:val="003A169B"/>
    <w:rsid w:val="003A2A14"/>
    <w:rsid w:val="003A42CB"/>
    <w:rsid w:val="003B2C31"/>
    <w:rsid w:val="003B6147"/>
    <w:rsid w:val="003B6684"/>
    <w:rsid w:val="003B79AA"/>
    <w:rsid w:val="003C4E39"/>
    <w:rsid w:val="003C5024"/>
    <w:rsid w:val="003C7386"/>
    <w:rsid w:val="003D17C5"/>
    <w:rsid w:val="003D5021"/>
    <w:rsid w:val="003D58E5"/>
    <w:rsid w:val="003D63AD"/>
    <w:rsid w:val="003D7974"/>
    <w:rsid w:val="003E0CAC"/>
    <w:rsid w:val="003F3997"/>
    <w:rsid w:val="003F5B74"/>
    <w:rsid w:val="00401FBC"/>
    <w:rsid w:val="004024E1"/>
    <w:rsid w:val="00402768"/>
    <w:rsid w:val="00410525"/>
    <w:rsid w:val="0041129A"/>
    <w:rsid w:val="00411C7C"/>
    <w:rsid w:val="00415FBF"/>
    <w:rsid w:val="00416D43"/>
    <w:rsid w:val="004231E1"/>
    <w:rsid w:val="00426D2D"/>
    <w:rsid w:val="004338C9"/>
    <w:rsid w:val="0043599C"/>
    <w:rsid w:val="00437328"/>
    <w:rsid w:val="00440C32"/>
    <w:rsid w:val="0044287A"/>
    <w:rsid w:val="0044504B"/>
    <w:rsid w:val="004503AC"/>
    <w:rsid w:val="00450AF0"/>
    <w:rsid w:val="00456139"/>
    <w:rsid w:val="004733D4"/>
    <w:rsid w:val="0047455C"/>
    <w:rsid w:val="00481F9B"/>
    <w:rsid w:val="00483F40"/>
    <w:rsid w:val="00484202"/>
    <w:rsid w:val="00484B5D"/>
    <w:rsid w:val="00494CC0"/>
    <w:rsid w:val="004A0DA4"/>
    <w:rsid w:val="004A304B"/>
    <w:rsid w:val="004A3DE8"/>
    <w:rsid w:val="004A7A23"/>
    <w:rsid w:val="004A7EB0"/>
    <w:rsid w:val="004C06E4"/>
    <w:rsid w:val="004C4490"/>
    <w:rsid w:val="004C4C41"/>
    <w:rsid w:val="004C72EE"/>
    <w:rsid w:val="004D25FA"/>
    <w:rsid w:val="004D6F39"/>
    <w:rsid w:val="004D7211"/>
    <w:rsid w:val="004E2DC0"/>
    <w:rsid w:val="004F3870"/>
    <w:rsid w:val="004F7257"/>
    <w:rsid w:val="004F76A0"/>
    <w:rsid w:val="00505045"/>
    <w:rsid w:val="00511635"/>
    <w:rsid w:val="00514DDA"/>
    <w:rsid w:val="00515AB6"/>
    <w:rsid w:val="00515F2C"/>
    <w:rsid w:val="00516173"/>
    <w:rsid w:val="00517744"/>
    <w:rsid w:val="00524F55"/>
    <w:rsid w:val="0052643B"/>
    <w:rsid w:val="00532FC8"/>
    <w:rsid w:val="00533505"/>
    <w:rsid w:val="005339A5"/>
    <w:rsid w:val="00536643"/>
    <w:rsid w:val="00537893"/>
    <w:rsid w:val="00540ABC"/>
    <w:rsid w:val="00540EA7"/>
    <w:rsid w:val="00554BE8"/>
    <w:rsid w:val="00574269"/>
    <w:rsid w:val="0058386D"/>
    <w:rsid w:val="00586CF8"/>
    <w:rsid w:val="00591A0C"/>
    <w:rsid w:val="00591E78"/>
    <w:rsid w:val="0059314F"/>
    <w:rsid w:val="00594019"/>
    <w:rsid w:val="00596107"/>
    <w:rsid w:val="005A1F6A"/>
    <w:rsid w:val="005A54AE"/>
    <w:rsid w:val="005A5CB1"/>
    <w:rsid w:val="005D5D7E"/>
    <w:rsid w:val="005D709A"/>
    <w:rsid w:val="005E548D"/>
    <w:rsid w:val="005E5864"/>
    <w:rsid w:val="005F1D8D"/>
    <w:rsid w:val="00601206"/>
    <w:rsid w:val="00610A7A"/>
    <w:rsid w:val="0061300A"/>
    <w:rsid w:val="0061558F"/>
    <w:rsid w:val="0061592E"/>
    <w:rsid w:val="00621F8F"/>
    <w:rsid w:val="00625E56"/>
    <w:rsid w:val="0062715A"/>
    <w:rsid w:val="0063044A"/>
    <w:rsid w:val="006348DD"/>
    <w:rsid w:val="00634B3F"/>
    <w:rsid w:val="00650931"/>
    <w:rsid w:val="00655C47"/>
    <w:rsid w:val="00660E1A"/>
    <w:rsid w:val="00664022"/>
    <w:rsid w:val="0067321E"/>
    <w:rsid w:val="00673E15"/>
    <w:rsid w:val="0067657B"/>
    <w:rsid w:val="006777BD"/>
    <w:rsid w:val="00686919"/>
    <w:rsid w:val="00696701"/>
    <w:rsid w:val="00697AEC"/>
    <w:rsid w:val="006A65C6"/>
    <w:rsid w:val="006B02D9"/>
    <w:rsid w:val="006B122C"/>
    <w:rsid w:val="006B45D5"/>
    <w:rsid w:val="006B66B8"/>
    <w:rsid w:val="006C3E1F"/>
    <w:rsid w:val="006C76A0"/>
    <w:rsid w:val="006D57D7"/>
    <w:rsid w:val="006D5FB7"/>
    <w:rsid w:val="006D7A08"/>
    <w:rsid w:val="006E2649"/>
    <w:rsid w:val="006E494A"/>
    <w:rsid w:val="006E67DB"/>
    <w:rsid w:val="006E7137"/>
    <w:rsid w:val="006E7EBF"/>
    <w:rsid w:val="006F55F0"/>
    <w:rsid w:val="00712776"/>
    <w:rsid w:val="00721474"/>
    <w:rsid w:val="00721777"/>
    <w:rsid w:val="007234B0"/>
    <w:rsid w:val="007310EB"/>
    <w:rsid w:val="00734D14"/>
    <w:rsid w:val="007359AA"/>
    <w:rsid w:val="00761285"/>
    <w:rsid w:val="00763283"/>
    <w:rsid w:val="00770452"/>
    <w:rsid w:val="00776B31"/>
    <w:rsid w:val="00780C89"/>
    <w:rsid w:val="007826BD"/>
    <w:rsid w:val="00783CA9"/>
    <w:rsid w:val="007857AC"/>
    <w:rsid w:val="0079011D"/>
    <w:rsid w:val="00795CEC"/>
    <w:rsid w:val="007A1657"/>
    <w:rsid w:val="007A1A98"/>
    <w:rsid w:val="007B25E5"/>
    <w:rsid w:val="007C5012"/>
    <w:rsid w:val="007D0856"/>
    <w:rsid w:val="007D18E6"/>
    <w:rsid w:val="007D45BC"/>
    <w:rsid w:val="007D507A"/>
    <w:rsid w:val="007E07E7"/>
    <w:rsid w:val="007E1149"/>
    <w:rsid w:val="007E335C"/>
    <w:rsid w:val="007E56AF"/>
    <w:rsid w:val="007F2E38"/>
    <w:rsid w:val="0080009F"/>
    <w:rsid w:val="008015CA"/>
    <w:rsid w:val="008043B1"/>
    <w:rsid w:val="00804D7E"/>
    <w:rsid w:val="00810D5E"/>
    <w:rsid w:val="008111F9"/>
    <w:rsid w:val="0081367E"/>
    <w:rsid w:val="008215D6"/>
    <w:rsid w:val="00823018"/>
    <w:rsid w:val="00823B24"/>
    <w:rsid w:val="00827F07"/>
    <w:rsid w:val="00831480"/>
    <w:rsid w:val="00831C6E"/>
    <w:rsid w:val="0083416B"/>
    <w:rsid w:val="00835D6D"/>
    <w:rsid w:val="00836688"/>
    <w:rsid w:val="00836A54"/>
    <w:rsid w:val="00843A64"/>
    <w:rsid w:val="00846C40"/>
    <w:rsid w:val="00854918"/>
    <w:rsid w:val="00855717"/>
    <w:rsid w:val="00855AEE"/>
    <w:rsid w:val="00874E6B"/>
    <w:rsid w:val="00880690"/>
    <w:rsid w:val="00881F3D"/>
    <w:rsid w:val="00884D6C"/>
    <w:rsid w:val="00885E81"/>
    <w:rsid w:val="0089236C"/>
    <w:rsid w:val="00892620"/>
    <w:rsid w:val="008950B0"/>
    <w:rsid w:val="008951BB"/>
    <w:rsid w:val="008955E6"/>
    <w:rsid w:val="008969C9"/>
    <w:rsid w:val="008A625B"/>
    <w:rsid w:val="008B5646"/>
    <w:rsid w:val="008C24A2"/>
    <w:rsid w:val="008C4643"/>
    <w:rsid w:val="008D03EA"/>
    <w:rsid w:val="008D39DF"/>
    <w:rsid w:val="008D5B87"/>
    <w:rsid w:val="008D7BC9"/>
    <w:rsid w:val="008E7C85"/>
    <w:rsid w:val="008F72CC"/>
    <w:rsid w:val="008F7FCB"/>
    <w:rsid w:val="00906EA9"/>
    <w:rsid w:val="00911F0B"/>
    <w:rsid w:val="0091388B"/>
    <w:rsid w:val="00916428"/>
    <w:rsid w:val="009169E4"/>
    <w:rsid w:val="0092121E"/>
    <w:rsid w:val="0092144D"/>
    <w:rsid w:val="00923BDF"/>
    <w:rsid w:val="00924353"/>
    <w:rsid w:val="00925A51"/>
    <w:rsid w:val="00933640"/>
    <w:rsid w:val="00937BC8"/>
    <w:rsid w:val="00945DEE"/>
    <w:rsid w:val="00954C12"/>
    <w:rsid w:val="00957B44"/>
    <w:rsid w:val="009600D5"/>
    <w:rsid w:val="0096106B"/>
    <w:rsid w:val="009624B1"/>
    <w:rsid w:val="009644E0"/>
    <w:rsid w:val="0098352F"/>
    <w:rsid w:val="009853AB"/>
    <w:rsid w:val="00986E46"/>
    <w:rsid w:val="0098716E"/>
    <w:rsid w:val="00987653"/>
    <w:rsid w:val="00991BCA"/>
    <w:rsid w:val="009924D3"/>
    <w:rsid w:val="009955F9"/>
    <w:rsid w:val="00996BFB"/>
    <w:rsid w:val="00997E15"/>
    <w:rsid w:val="009A5065"/>
    <w:rsid w:val="009C0893"/>
    <w:rsid w:val="009C0D33"/>
    <w:rsid w:val="009C201D"/>
    <w:rsid w:val="009C62E6"/>
    <w:rsid w:val="009D3BFB"/>
    <w:rsid w:val="009E007B"/>
    <w:rsid w:val="009E4FA2"/>
    <w:rsid w:val="009E727D"/>
    <w:rsid w:val="009F3C35"/>
    <w:rsid w:val="00A0057C"/>
    <w:rsid w:val="00A02184"/>
    <w:rsid w:val="00A03797"/>
    <w:rsid w:val="00A03800"/>
    <w:rsid w:val="00A03DCF"/>
    <w:rsid w:val="00A072EE"/>
    <w:rsid w:val="00A076E7"/>
    <w:rsid w:val="00A162D0"/>
    <w:rsid w:val="00A16E05"/>
    <w:rsid w:val="00A30906"/>
    <w:rsid w:val="00A30D53"/>
    <w:rsid w:val="00A365F4"/>
    <w:rsid w:val="00A435F9"/>
    <w:rsid w:val="00A45514"/>
    <w:rsid w:val="00A46488"/>
    <w:rsid w:val="00A46A46"/>
    <w:rsid w:val="00A47F21"/>
    <w:rsid w:val="00A50E6E"/>
    <w:rsid w:val="00A61C8A"/>
    <w:rsid w:val="00A80A92"/>
    <w:rsid w:val="00A84E74"/>
    <w:rsid w:val="00A8613B"/>
    <w:rsid w:val="00A90A7B"/>
    <w:rsid w:val="00A92859"/>
    <w:rsid w:val="00A93FF7"/>
    <w:rsid w:val="00A97105"/>
    <w:rsid w:val="00AB282A"/>
    <w:rsid w:val="00AB3BDD"/>
    <w:rsid w:val="00AD2547"/>
    <w:rsid w:val="00AD50BC"/>
    <w:rsid w:val="00AD6EBF"/>
    <w:rsid w:val="00AE4E58"/>
    <w:rsid w:val="00AF1924"/>
    <w:rsid w:val="00AF6068"/>
    <w:rsid w:val="00B03019"/>
    <w:rsid w:val="00B0600B"/>
    <w:rsid w:val="00B10773"/>
    <w:rsid w:val="00B1515E"/>
    <w:rsid w:val="00B1767F"/>
    <w:rsid w:val="00B22734"/>
    <w:rsid w:val="00B62E4A"/>
    <w:rsid w:val="00B6312E"/>
    <w:rsid w:val="00B769F9"/>
    <w:rsid w:val="00B80EBD"/>
    <w:rsid w:val="00B81A9C"/>
    <w:rsid w:val="00B827DD"/>
    <w:rsid w:val="00B94E45"/>
    <w:rsid w:val="00B97353"/>
    <w:rsid w:val="00BA2AD0"/>
    <w:rsid w:val="00BA2FDC"/>
    <w:rsid w:val="00BA58E5"/>
    <w:rsid w:val="00BA7382"/>
    <w:rsid w:val="00BB2164"/>
    <w:rsid w:val="00BB57F6"/>
    <w:rsid w:val="00BC193A"/>
    <w:rsid w:val="00BC473A"/>
    <w:rsid w:val="00BC7162"/>
    <w:rsid w:val="00BD2050"/>
    <w:rsid w:val="00BE25CB"/>
    <w:rsid w:val="00BE4BE6"/>
    <w:rsid w:val="00C04B5F"/>
    <w:rsid w:val="00C11296"/>
    <w:rsid w:val="00C204D1"/>
    <w:rsid w:val="00C22D3F"/>
    <w:rsid w:val="00C27460"/>
    <w:rsid w:val="00C27513"/>
    <w:rsid w:val="00C31FEE"/>
    <w:rsid w:val="00C3595E"/>
    <w:rsid w:val="00C43802"/>
    <w:rsid w:val="00C43C35"/>
    <w:rsid w:val="00C453BB"/>
    <w:rsid w:val="00C4790F"/>
    <w:rsid w:val="00C556C2"/>
    <w:rsid w:val="00C55978"/>
    <w:rsid w:val="00C61338"/>
    <w:rsid w:val="00C62F56"/>
    <w:rsid w:val="00C641FD"/>
    <w:rsid w:val="00C6545B"/>
    <w:rsid w:val="00C6596E"/>
    <w:rsid w:val="00C65A40"/>
    <w:rsid w:val="00C700D3"/>
    <w:rsid w:val="00C82FA8"/>
    <w:rsid w:val="00C85E44"/>
    <w:rsid w:val="00C92254"/>
    <w:rsid w:val="00C93E58"/>
    <w:rsid w:val="00C94E80"/>
    <w:rsid w:val="00C958F9"/>
    <w:rsid w:val="00C96BB3"/>
    <w:rsid w:val="00CA0AB5"/>
    <w:rsid w:val="00CA7EE3"/>
    <w:rsid w:val="00CC0740"/>
    <w:rsid w:val="00CD44C0"/>
    <w:rsid w:val="00CD5248"/>
    <w:rsid w:val="00CE4F18"/>
    <w:rsid w:val="00CE5270"/>
    <w:rsid w:val="00CE53AF"/>
    <w:rsid w:val="00CF0137"/>
    <w:rsid w:val="00D030A3"/>
    <w:rsid w:val="00D05864"/>
    <w:rsid w:val="00D06E35"/>
    <w:rsid w:val="00D22378"/>
    <w:rsid w:val="00D2512F"/>
    <w:rsid w:val="00D279B8"/>
    <w:rsid w:val="00D3326A"/>
    <w:rsid w:val="00D43CB1"/>
    <w:rsid w:val="00D5004E"/>
    <w:rsid w:val="00D50733"/>
    <w:rsid w:val="00D53771"/>
    <w:rsid w:val="00D61102"/>
    <w:rsid w:val="00D628C8"/>
    <w:rsid w:val="00D67A38"/>
    <w:rsid w:val="00D7456E"/>
    <w:rsid w:val="00D756A9"/>
    <w:rsid w:val="00D75B3E"/>
    <w:rsid w:val="00D765D4"/>
    <w:rsid w:val="00D81B0B"/>
    <w:rsid w:val="00D841A8"/>
    <w:rsid w:val="00D850AC"/>
    <w:rsid w:val="00D8580A"/>
    <w:rsid w:val="00D90480"/>
    <w:rsid w:val="00D91C9A"/>
    <w:rsid w:val="00D92BF3"/>
    <w:rsid w:val="00D965DA"/>
    <w:rsid w:val="00DC08A6"/>
    <w:rsid w:val="00DC16C7"/>
    <w:rsid w:val="00DC617C"/>
    <w:rsid w:val="00DD0134"/>
    <w:rsid w:val="00DE2E7A"/>
    <w:rsid w:val="00DE356D"/>
    <w:rsid w:val="00DE4CCD"/>
    <w:rsid w:val="00DE6C0C"/>
    <w:rsid w:val="00E10036"/>
    <w:rsid w:val="00E16CBF"/>
    <w:rsid w:val="00E261B0"/>
    <w:rsid w:val="00E26C27"/>
    <w:rsid w:val="00E26C5C"/>
    <w:rsid w:val="00E27BF5"/>
    <w:rsid w:val="00E3371B"/>
    <w:rsid w:val="00E365B1"/>
    <w:rsid w:val="00E450AD"/>
    <w:rsid w:val="00E514D2"/>
    <w:rsid w:val="00E566A0"/>
    <w:rsid w:val="00E5730C"/>
    <w:rsid w:val="00E57F4D"/>
    <w:rsid w:val="00E60B81"/>
    <w:rsid w:val="00E62300"/>
    <w:rsid w:val="00E649F2"/>
    <w:rsid w:val="00E6512A"/>
    <w:rsid w:val="00E670E5"/>
    <w:rsid w:val="00E6738A"/>
    <w:rsid w:val="00E72F45"/>
    <w:rsid w:val="00E73F3C"/>
    <w:rsid w:val="00E77219"/>
    <w:rsid w:val="00E801CE"/>
    <w:rsid w:val="00E857DB"/>
    <w:rsid w:val="00E85A8B"/>
    <w:rsid w:val="00E86740"/>
    <w:rsid w:val="00E90AA7"/>
    <w:rsid w:val="00E97B60"/>
    <w:rsid w:val="00EA4313"/>
    <w:rsid w:val="00EA6FFA"/>
    <w:rsid w:val="00EB7D87"/>
    <w:rsid w:val="00ED3E66"/>
    <w:rsid w:val="00ED4807"/>
    <w:rsid w:val="00ED60D5"/>
    <w:rsid w:val="00EE38BF"/>
    <w:rsid w:val="00EE6D33"/>
    <w:rsid w:val="00EE7719"/>
    <w:rsid w:val="00EF0EF9"/>
    <w:rsid w:val="00F02195"/>
    <w:rsid w:val="00F063FF"/>
    <w:rsid w:val="00F11EE9"/>
    <w:rsid w:val="00F15D34"/>
    <w:rsid w:val="00F25B0E"/>
    <w:rsid w:val="00F27028"/>
    <w:rsid w:val="00F27BA5"/>
    <w:rsid w:val="00F27F90"/>
    <w:rsid w:val="00F331A4"/>
    <w:rsid w:val="00F425E6"/>
    <w:rsid w:val="00F42615"/>
    <w:rsid w:val="00F53075"/>
    <w:rsid w:val="00F627C0"/>
    <w:rsid w:val="00F677AD"/>
    <w:rsid w:val="00F71382"/>
    <w:rsid w:val="00F720C2"/>
    <w:rsid w:val="00F90A79"/>
    <w:rsid w:val="00F943AE"/>
    <w:rsid w:val="00F95529"/>
    <w:rsid w:val="00F9768E"/>
    <w:rsid w:val="00FA7D71"/>
    <w:rsid w:val="00FB0F46"/>
    <w:rsid w:val="00FB1249"/>
    <w:rsid w:val="00FB27BE"/>
    <w:rsid w:val="00FB48BB"/>
    <w:rsid w:val="00FC1110"/>
    <w:rsid w:val="00FC5CAC"/>
    <w:rsid w:val="00FC711C"/>
    <w:rsid w:val="00FD064E"/>
    <w:rsid w:val="00FD2BDB"/>
    <w:rsid w:val="00FD67B0"/>
    <w:rsid w:val="00FE2C2D"/>
    <w:rsid w:val="00FF0AD1"/>
    <w:rsid w:val="00FF2226"/>
    <w:rsid w:val="00FF566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4E477A"/>
  <w15:chartTrackingRefBased/>
  <w15:docId w15:val="{1392660B-076E-428C-99F6-3F556B12F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5864"/>
    <w:pPr>
      <w:spacing w:after="200"/>
    </w:pPr>
    <w:rPr>
      <w:rFonts w:ascii="Calibri Light" w:hAnsi="Calibri Light" w:cs="Arial"/>
      <w:sz w:val="20"/>
      <w:szCs w:val="18"/>
    </w:rPr>
  </w:style>
  <w:style w:type="paragraph" w:styleId="Heading1">
    <w:name w:val="heading 1"/>
    <w:next w:val="ResBodyText"/>
    <w:link w:val="Heading1Char"/>
    <w:uiPriority w:val="9"/>
    <w:qFormat/>
    <w:rsid w:val="00E514D2"/>
    <w:pPr>
      <w:keepNext/>
      <w:spacing w:before="600" w:after="60"/>
      <w:outlineLvl w:val="0"/>
    </w:pPr>
    <w:rPr>
      <w:rFonts w:ascii="Calibri" w:hAnsi="Calibri" w:cs="Arial"/>
      <w:color w:val="024D7C"/>
      <w:sz w:val="28"/>
      <w:szCs w:val="26"/>
    </w:rPr>
  </w:style>
  <w:style w:type="paragraph" w:styleId="Heading2">
    <w:name w:val="heading 2"/>
    <w:basedOn w:val="Heading1"/>
    <w:next w:val="ResBodyText"/>
    <w:link w:val="Heading2Char"/>
    <w:autoRedefine/>
    <w:uiPriority w:val="9"/>
    <w:unhideWhenUsed/>
    <w:qFormat/>
    <w:rsid w:val="00591A0C"/>
    <w:pPr>
      <w:tabs>
        <w:tab w:val="left" w:pos="360"/>
        <w:tab w:val="left" w:pos="720"/>
        <w:tab w:val="left" w:pos="1080"/>
        <w:tab w:val="left" w:pos="1440"/>
        <w:tab w:val="left" w:pos="1800"/>
      </w:tabs>
      <w:spacing w:before="360"/>
      <w:outlineLvl w:val="1"/>
    </w:pPr>
    <w:rPr>
      <w:b/>
      <w:caps/>
      <w:color w:val="3AA5BD" w:themeColor="accent2" w:themeShade="BF"/>
      <w:sz w:val="21"/>
    </w:rPr>
  </w:style>
  <w:style w:type="paragraph" w:styleId="Heading3">
    <w:name w:val="heading 3"/>
    <w:basedOn w:val="Heading2"/>
    <w:next w:val="Normal"/>
    <w:link w:val="Heading3Char"/>
    <w:uiPriority w:val="9"/>
    <w:unhideWhenUsed/>
    <w:qFormat/>
    <w:rsid w:val="00E514D2"/>
    <w:pPr>
      <w:outlineLvl w:val="2"/>
    </w:pPr>
    <w:rPr>
      <w:rFonts w:asciiTheme="majorHAnsi" w:hAnsiTheme="majorHAnsi"/>
      <w:b w:val="0"/>
      <w:color w:val="000000" w:themeColor="text1"/>
    </w:rPr>
  </w:style>
  <w:style w:type="paragraph" w:styleId="Heading4">
    <w:name w:val="heading 4"/>
    <w:basedOn w:val="Normal"/>
    <w:next w:val="Normal"/>
    <w:link w:val="Heading4Char"/>
    <w:uiPriority w:val="9"/>
    <w:semiHidden/>
    <w:unhideWhenUsed/>
    <w:qFormat/>
    <w:rsid w:val="00854918"/>
    <w:pPr>
      <w:keepNext/>
      <w:keepLines/>
      <w:spacing w:before="40" w:after="0"/>
      <w:outlineLvl w:val="3"/>
    </w:pPr>
    <w:rPr>
      <w:rFonts w:asciiTheme="majorHAnsi" w:eastAsiaTheme="majorEastAsia" w:hAnsiTheme="majorHAnsi" w:cstheme="majorBidi"/>
      <w:i/>
      <w:i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591A0C"/>
    <w:rPr>
      <w:rFonts w:ascii="Calibri" w:hAnsi="Calibri" w:cs="Arial"/>
      <w:b/>
      <w:caps/>
      <w:color w:val="3AA5BD" w:themeColor="accent2" w:themeShade="BF"/>
      <w:sz w:val="21"/>
      <w:szCs w:val="26"/>
    </w:rPr>
  </w:style>
  <w:style w:type="paragraph" w:styleId="Title">
    <w:name w:val="Title"/>
    <w:basedOn w:val="Normal"/>
    <w:next w:val="Normal"/>
    <w:link w:val="TitleChar"/>
    <w:uiPriority w:val="10"/>
    <w:qFormat/>
    <w:rsid w:val="001B3C51"/>
    <w:pPr>
      <w:spacing w:before="120" w:after="0" w:line="240" w:lineRule="auto"/>
    </w:pPr>
    <w:rPr>
      <w:rFonts w:asciiTheme="minorHAnsi" w:hAnsiTheme="minorHAnsi"/>
      <w:color w:val="024D7C" w:themeColor="accent1"/>
      <w:sz w:val="50"/>
      <w:szCs w:val="50"/>
    </w:rPr>
  </w:style>
  <w:style w:type="paragraph" w:customStyle="1" w:styleId="ResBodyText">
    <w:name w:val="Res Body Text"/>
    <w:link w:val="ResBodyTextChar"/>
    <w:qFormat/>
    <w:rsid w:val="004733D4"/>
    <w:pPr>
      <w:spacing w:after="200"/>
    </w:pPr>
    <w:rPr>
      <w:rFonts w:ascii="Calibri Light" w:hAnsi="Calibri Light" w:cs="Arial"/>
      <w:sz w:val="20"/>
      <w:szCs w:val="18"/>
    </w:rPr>
  </w:style>
  <w:style w:type="paragraph" w:customStyle="1" w:styleId="ResAuthorNameCred">
    <w:name w:val="Res Author Name &amp; Cred"/>
    <w:basedOn w:val="Normal"/>
    <w:link w:val="ResAuthorNameCredChar"/>
    <w:rsid w:val="009C0893"/>
    <w:pPr>
      <w:spacing w:after="0"/>
      <w:contextualSpacing/>
    </w:pPr>
    <w:rPr>
      <w:rFonts w:ascii="Source Sans Pro Light" w:hAnsi="Source Sans Pro Light" w:cs="Open Sans"/>
      <w:color w:val="000000" w:themeColor="text1"/>
      <w:sz w:val="16"/>
    </w:rPr>
  </w:style>
  <w:style w:type="paragraph" w:styleId="BalloonText">
    <w:name w:val="Balloon Text"/>
    <w:basedOn w:val="Normal"/>
    <w:link w:val="BalloonTextChar"/>
    <w:uiPriority w:val="99"/>
    <w:semiHidden/>
    <w:unhideWhenUsed/>
    <w:rsid w:val="00AD6EBF"/>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AD6EBF"/>
    <w:rPr>
      <w:rFonts w:ascii="Segoe UI" w:hAnsi="Segoe UI" w:cs="Segoe UI"/>
      <w:sz w:val="18"/>
      <w:szCs w:val="18"/>
    </w:rPr>
  </w:style>
  <w:style w:type="paragraph" w:styleId="Header">
    <w:name w:val="header"/>
    <w:basedOn w:val="Normal"/>
    <w:link w:val="HeaderChar"/>
    <w:uiPriority w:val="99"/>
    <w:unhideWhenUsed/>
    <w:rsid w:val="00A80A92"/>
    <w:pPr>
      <w:tabs>
        <w:tab w:val="center" w:pos="4680"/>
        <w:tab w:val="right" w:pos="9360"/>
      </w:tabs>
      <w:spacing w:after="0" w:line="240" w:lineRule="auto"/>
      <w:ind w:right="-720"/>
    </w:pPr>
    <w:rPr>
      <w:noProof/>
      <w:sz w:val="18"/>
    </w:rPr>
  </w:style>
  <w:style w:type="character" w:customStyle="1" w:styleId="HeaderChar">
    <w:name w:val="Header Char"/>
    <w:basedOn w:val="DefaultParagraphFont"/>
    <w:link w:val="Header"/>
    <w:uiPriority w:val="99"/>
    <w:rsid w:val="00A80A92"/>
    <w:rPr>
      <w:rFonts w:ascii="Calibri Light" w:hAnsi="Calibri Light"/>
      <w:noProof/>
      <w:sz w:val="18"/>
      <w:szCs w:val="18"/>
    </w:rPr>
  </w:style>
  <w:style w:type="paragraph" w:styleId="Footer">
    <w:name w:val="footer"/>
    <w:basedOn w:val="Normal"/>
    <w:link w:val="FooterChar"/>
    <w:uiPriority w:val="99"/>
    <w:unhideWhenUsed/>
    <w:rsid w:val="00A80A92"/>
    <w:pPr>
      <w:tabs>
        <w:tab w:val="right" w:pos="9900"/>
      </w:tabs>
      <w:ind w:left="-450" w:right="-720"/>
    </w:pPr>
    <w:rPr>
      <w:rFonts w:asciiTheme="majorHAnsi" w:hAnsiTheme="majorHAnsi"/>
      <w:color w:val="808080" w:themeColor="background1" w:themeShade="80"/>
      <w:sz w:val="16"/>
      <w:szCs w:val="16"/>
    </w:rPr>
  </w:style>
  <w:style w:type="character" w:customStyle="1" w:styleId="FooterChar">
    <w:name w:val="Footer Char"/>
    <w:basedOn w:val="DefaultParagraphFont"/>
    <w:link w:val="Footer"/>
    <w:uiPriority w:val="99"/>
    <w:rsid w:val="00A80A92"/>
    <w:rPr>
      <w:rFonts w:asciiTheme="majorHAnsi" w:hAnsiTheme="majorHAnsi"/>
      <w:color w:val="808080" w:themeColor="background1" w:themeShade="80"/>
      <w:sz w:val="16"/>
      <w:szCs w:val="16"/>
    </w:rPr>
  </w:style>
  <w:style w:type="paragraph" w:styleId="FootnoteText">
    <w:name w:val="footnote text"/>
    <w:basedOn w:val="Normal"/>
    <w:link w:val="FootnoteTextChar"/>
    <w:uiPriority w:val="99"/>
    <w:unhideWhenUsed/>
    <w:rsid w:val="00C3595E"/>
    <w:pPr>
      <w:spacing w:after="0" w:line="240" w:lineRule="auto"/>
    </w:pPr>
    <w:rPr>
      <w:color w:val="0D0D0D" w:themeColor="text1" w:themeTint="F2"/>
      <w:sz w:val="15"/>
      <w:szCs w:val="20"/>
    </w:rPr>
  </w:style>
  <w:style w:type="character" w:customStyle="1" w:styleId="FootnoteTextChar">
    <w:name w:val="Footnote Text Char"/>
    <w:basedOn w:val="DefaultParagraphFont"/>
    <w:link w:val="FootnoteText"/>
    <w:uiPriority w:val="99"/>
    <w:rsid w:val="00C3595E"/>
    <w:rPr>
      <w:rFonts w:ascii="Calibri Light" w:hAnsi="Calibri Light"/>
      <w:color w:val="0D0D0D" w:themeColor="text1" w:themeTint="F2"/>
      <w:sz w:val="15"/>
      <w:szCs w:val="20"/>
    </w:rPr>
  </w:style>
  <w:style w:type="character" w:styleId="FootnoteReference">
    <w:name w:val="footnote reference"/>
    <w:basedOn w:val="DefaultParagraphFont"/>
    <w:uiPriority w:val="99"/>
    <w:semiHidden/>
    <w:unhideWhenUsed/>
    <w:rsid w:val="00AD6EBF"/>
    <w:rPr>
      <w:vertAlign w:val="superscript"/>
    </w:rPr>
  </w:style>
  <w:style w:type="paragraph" w:customStyle="1" w:styleId="FootnoteText1">
    <w:name w:val="Footnote Text1"/>
    <w:basedOn w:val="FootnoteText"/>
    <w:qFormat/>
    <w:rsid w:val="00F627C0"/>
  </w:style>
  <w:style w:type="paragraph" w:customStyle="1" w:styleId="Authorsponsorheading">
    <w:name w:val="Author/sponsor heading"/>
    <w:basedOn w:val="ResAuthorNameCred"/>
    <w:qFormat/>
    <w:rsid w:val="00FB1249"/>
    <w:rPr>
      <w:rFonts w:asciiTheme="majorHAnsi" w:hAnsiTheme="majorHAnsi" w:cstheme="majorHAnsi"/>
      <w:b/>
      <w:caps/>
      <w:sz w:val="18"/>
    </w:rPr>
  </w:style>
  <w:style w:type="character" w:customStyle="1" w:styleId="Heading1Char">
    <w:name w:val="Heading 1 Char"/>
    <w:basedOn w:val="DefaultParagraphFont"/>
    <w:link w:val="Heading1"/>
    <w:uiPriority w:val="9"/>
    <w:rsid w:val="00E514D2"/>
    <w:rPr>
      <w:rFonts w:ascii="Calibri" w:hAnsi="Calibri" w:cs="Arial"/>
      <w:color w:val="024D7C"/>
      <w:sz w:val="28"/>
      <w:szCs w:val="26"/>
    </w:rPr>
  </w:style>
  <w:style w:type="paragraph" w:styleId="TOCHeading">
    <w:name w:val="TOC Heading"/>
    <w:basedOn w:val="Normal"/>
    <w:next w:val="Normal"/>
    <w:uiPriority w:val="39"/>
    <w:unhideWhenUsed/>
    <w:qFormat/>
    <w:rsid w:val="00A16E05"/>
    <w:pPr>
      <w:spacing w:before="360" w:after="240" w:line="240" w:lineRule="auto"/>
    </w:pPr>
    <w:rPr>
      <w:rFonts w:asciiTheme="majorHAnsi" w:hAnsiTheme="majorHAnsi"/>
      <w:caps/>
      <w:color w:val="024D7C"/>
      <w:sz w:val="28"/>
    </w:rPr>
  </w:style>
  <w:style w:type="paragraph" w:styleId="TOC2">
    <w:name w:val="toc 2"/>
    <w:next w:val="Normal"/>
    <w:autoRedefine/>
    <w:uiPriority w:val="39"/>
    <w:unhideWhenUsed/>
    <w:rsid w:val="00686919"/>
    <w:pPr>
      <w:tabs>
        <w:tab w:val="left" w:pos="990"/>
        <w:tab w:val="right" w:leader="dot" w:pos="8640"/>
      </w:tabs>
      <w:spacing w:after="0"/>
      <w:ind w:left="540" w:right="720"/>
    </w:pPr>
    <w:rPr>
      <w:rFonts w:ascii="Calibri Light" w:eastAsiaTheme="minorEastAsia" w:hAnsi="Calibri Light" w:cs="Arial"/>
      <w:noProof/>
      <w:sz w:val="18"/>
      <w:szCs w:val="18"/>
    </w:rPr>
  </w:style>
  <w:style w:type="paragraph" w:styleId="TOC1">
    <w:name w:val="toc 1"/>
    <w:basedOn w:val="Normal"/>
    <w:next w:val="Normal"/>
    <w:autoRedefine/>
    <w:uiPriority w:val="39"/>
    <w:unhideWhenUsed/>
    <w:rsid w:val="00686919"/>
    <w:pPr>
      <w:tabs>
        <w:tab w:val="right" w:leader="dot" w:pos="8640"/>
      </w:tabs>
      <w:spacing w:before="120" w:after="0"/>
      <w:ind w:right="720"/>
    </w:pPr>
    <w:rPr>
      <w:rFonts w:ascii="Calibri" w:eastAsiaTheme="minorEastAsia" w:hAnsi="Calibri"/>
      <w:b/>
      <w:noProof/>
      <w:sz w:val="18"/>
    </w:rPr>
  </w:style>
  <w:style w:type="paragraph" w:styleId="TOC3">
    <w:name w:val="toc 3"/>
    <w:basedOn w:val="Normal"/>
    <w:next w:val="Normal"/>
    <w:autoRedefine/>
    <w:uiPriority w:val="39"/>
    <w:unhideWhenUsed/>
    <w:rsid w:val="00591E78"/>
    <w:pPr>
      <w:tabs>
        <w:tab w:val="left" w:pos="1710"/>
        <w:tab w:val="right" w:leader="dot" w:pos="8640"/>
      </w:tabs>
      <w:spacing w:after="0"/>
      <w:ind w:left="1080" w:right="720"/>
    </w:pPr>
    <w:rPr>
      <w:noProof/>
      <w:sz w:val="18"/>
    </w:rPr>
  </w:style>
  <w:style w:type="character" w:styleId="Hyperlink">
    <w:name w:val="Hyperlink"/>
    <w:basedOn w:val="DefaultParagraphFont"/>
    <w:uiPriority w:val="99"/>
    <w:unhideWhenUsed/>
    <w:rsid w:val="0081367E"/>
    <w:rPr>
      <w:color w:val="4E82A3" w:themeColor="hyperlink"/>
      <w:u w:val="single"/>
    </w:rPr>
  </w:style>
  <w:style w:type="character" w:customStyle="1" w:styleId="TitleChar">
    <w:name w:val="Title Char"/>
    <w:basedOn w:val="DefaultParagraphFont"/>
    <w:link w:val="Title"/>
    <w:uiPriority w:val="10"/>
    <w:rsid w:val="001B3C51"/>
    <w:rPr>
      <w:rFonts w:cs="Arial"/>
      <w:color w:val="024D7C" w:themeColor="accent1"/>
      <w:sz w:val="50"/>
      <w:szCs w:val="50"/>
    </w:rPr>
  </w:style>
  <w:style w:type="paragraph" w:styleId="Subtitle">
    <w:name w:val="Subtitle"/>
    <w:basedOn w:val="Normal"/>
    <w:next w:val="Normal"/>
    <w:link w:val="SubtitleChar"/>
    <w:uiPriority w:val="11"/>
    <w:qFormat/>
    <w:rsid w:val="0035413E"/>
    <w:pPr>
      <w:spacing w:before="6" w:after="0" w:line="240" w:lineRule="auto"/>
      <w:ind w:right="150"/>
    </w:pPr>
    <w:rPr>
      <w:rFonts w:asciiTheme="minorHAnsi" w:eastAsia="Avenir LT Std 35 Light" w:hAnsiTheme="minorHAnsi"/>
      <w:color w:val="3AA5BD" w:themeColor="accent2" w:themeShade="BF"/>
      <w:sz w:val="32"/>
      <w:szCs w:val="68"/>
    </w:rPr>
  </w:style>
  <w:style w:type="character" w:customStyle="1" w:styleId="SubtitleChar">
    <w:name w:val="Subtitle Char"/>
    <w:basedOn w:val="DefaultParagraphFont"/>
    <w:link w:val="Subtitle"/>
    <w:uiPriority w:val="11"/>
    <w:rsid w:val="0035413E"/>
    <w:rPr>
      <w:rFonts w:eastAsia="Avenir LT Std 35 Light" w:cs="Arial"/>
      <w:color w:val="3AA5BD" w:themeColor="accent2" w:themeShade="BF"/>
      <w:sz w:val="32"/>
      <w:szCs w:val="68"/>
    </w:rPr>
  </w:style>
  <w:style w:type="paragraph" w:styleId="ListBullet">
    <w:name w:val="List Bullet"/>
    <w:aliases w:val="Res List Bullet"/>
    <w:basedOn w:val="ResBodyText"/>
    <w:link w:val="ListBulletChar"/>
    <w:uiPriority w:val="99"/>
    <w:unhideWhenUsed/>
    <w:rsid w:val="00BE25CB"/>
    <w:pPr>
      <w:spacing w:before="240" w:after="280"/>
      <w:contextualSpacing/>
    </w:pPr>
  </w:style>
  <w:style w:type="character" w:customStyle="1" w:styleId="Heading3Char">
    <w:name w:val="Heading 3 Char"/>
    <w:basedOn w:val="DefaultParagraphFont"/>
    <w:link w:val="Heading3"/>
    <w:uiPriority w:val="9"/>
    <w:rsid w:val="00E514D2"/>
    <w:rPr>
      <w:rFonts w:asciiTheme="majorHAnsi" w:hAnsiTheme="majorHAnsi" w:cs="Arial"/>
      <w:caps/>
      <w:color w:val="000000" w:themeColor="text1"/>
      <w:sz w:val="21"/>
      <w:szCs w:val="26"/>
    </w:rPr>
  </w:style>
  <w:style w:type="paragraph" w:customStyle="1" w:styleId="Table-FigureNumber">
    <w:name w:val="Table-Figure Number"/>
    <w:qFormat/>
    <w:rsid w:val="00514DDA"/>
    <w:pPr>
      <w:keepNext/>
      <w:spacing w:before="120" w:after="0"/>
    </w:pPr>
    <w:rPr>
      <w:rFonts w:cs="Arial"/>
      <w:b/>
      <w:color w:val="000000" w:themeColor="text1"/>
      <w:sz w:val="18"/>
      <w:szCs w:val="26"/>
    </w:rPr>
  </w:style>
  <w:style w:type="paragraph" w:customStyle="1" w:styleId="Table-FigureTitle">
    <w:name w:val="Table-Figure Title"/>
    <w:next w:val="Bodysinglespace"/>
    <w:qFormat/>
    <w:rsid w:val="005A54AE"/>
    <w:pPr>
      <w:keepNext/>
      <w:spacing w:after="80"/>
    </w:pPr>
    <w:rPr>
      <w:rFonts w:asciiTheme="majorHAnsi" w:hAnsiTheme="majorHAnsi" w:cs="Arial"/>
      <w:caps/>
      <w:color w:val="024D7C"/>
      <w:sz w:val="20"/>
      <w:szCs w:val="26"/>
    </w:rPr>
  </w:style>
  <w:style w:type="character" w:customStyle="1" w:styleId="Heading4Char">
    <w:name w:val="Heading 4 Char"/>
    <w:basedOn w:val="DefaultParagraphFont"/>
    <w:link w:val="Heading4"/>
    <w:uiPriority w:val="9"/>
    <w:semiHidden/>
    <w:rsid w:val="00854918"/>
    <w:rPr>
      <w:rFonts w:asciiTheme="majorHAnsi" w:eastAsiaTheme="majorEastAsia" w:hAnsiTheme="majorHAnsi" w:cstheme="majorBidi"/>
      <w:i/>
      <w:iCs/>
      <w:color w:val="000000" w:themeColor="text1"/>
    </w:rPr>
  </w:style>
  <w:style w:type="paragraph" w:styleId="EndnoteText">
    <w:name w:val="endnote text"/>
    <w:basedOn w:val="Normal"/>
    <w:link w:val="EndnoteTextChar"/>
    <w:uiPriority w:val="99"/>
    <w:unhideWhenUsed/>
    <w:rsid w:val="003D17C5"/>
    <w:pPr>
      <w:spacing w:after="0" w:line="240" w:lineRule="auto"/>
    </w:pPr>
    <w:rPr>
      <w:szCs w:val="20"/>
    </w:rPr>
  </w:style>
  <w:style w:type="character" w:customStyle="1" w:styleId="EndnoteTextChar">
    <w:name w:val="Endnote Text Char"/>
    <w:basedOn w:val="DefaultParagraphFont"/>
    <w:link w:val="EndnoteText"/>
    <w:uiPriority w:val="99"/>
    <w:rsid w:val="003D17C5"/>
    <w:rPr>
      <w:rFonts w:ascii="Arial" w:hAnsi="Arial"/>
      <w:sz w:val="20"/>
      <w:szCs w:val="20"/>
    </w:rPr>
  </w:style>
  <w:style w:type="character" w:styleId="EndnoteReference">
    <w:name w:val="endnote reference"/>
    <w:basedOn w:val="DefaultParagraphFont"/>
    <w:uiPriority w:val="99"/>
    <w:unhideWhenUsed/>
    <w:rsid w:val="003D17C5"/>
    <w:rPr>
      <w:vertAlign w:val="superscript"/>
    </w:rPr>
  </w:style>
  <w:style w:type="paragraph" w:customStyle="1" w:styleId="Table-FigureText">
    <w:name w:val="Table-Figure Text"/>
    <w:basedOn w:val="Bodysinglespace"/>
    <w:link w:val="Table-FigureTextChar"/>
    <w:qFormat/>
    <w:rsid w:val="00D765D4"/>
    <w:rPr>
      <w:rFonts w:asciiTheme="minorHAnsi" w:hAnsiTheme="minorHAnsi"/>
      <w:sz w:val="18"/>
    </w:rPr>
  </w:style>
  <w:style w:type="paragraph" w:customStyle="1" w:styleId="ListNumbered">
    <w:name w:val="List: Numbered"/>
    <w:basedOn w:val="ListBullet"/>
    <w:qFormat/>
    <w:rsid w:val="004D7211"/>
    <w:pPr>
      <w:numPr>
        <w:numId w:val="15"/>
      </w:numPr>
      <w:ind w:left="630" w:hanging="270"/>
    </w:pPr>
    <w:rPr>
      <w:rFonts w:asciiTheme="minorHAnsi" w:hAnsiTheme="minorHAnsi"/>
    </w:rPr>
  </w:style>
  <w:style w:type="paragraph" w:customStyle="1" w:styleId="ResTableFigNumber">
    <w:name w:val="Res Table Fig Number"/>
    <w:rsid w:val="004733D4"/>
    <w:pPr>
      <w:spacing w:before="120" w:after="120"/>
    </w:pPr>
    <w:rPr>
      <w:rFonts w:asciiTheme="majorHAnsi" w:hAnsiTheme="majorHAnsi" w:cs="Arial"/>
      <w:b/>
      <w:color w:val="000000" w:themeColor="text1"/>
      <w:sz w:val="20"/>
      <w:szCs w:val="26"/>
    </w:rPr>
  </w:style>
  <w:style w:type="table" w:customStyle="1" w:styleId="ResearchStandardTable">
    <w:name w:val="Research Standard Table"/>
    <w:basedOn w:val="TableNormal"/>
    <w:uiPriority w:val="99"/>
    <w:rsid w:val="008F72CC"/>
    <w:pPr>
      <w:spacing w:after="0" w:line="240" w:lineRule="auto"/>
      <w:jc w:val="center"/>
    </w:pPr>
    <w:tblPr>
      <w:tblStyleRowBandSize w:val="1"/>
      <w:tblStyleColBandSize w:val="1"/>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AEAAAA" w:themeColor="background2" w:themeShade="BF"/>
        <w:insideV w:val="single" w:sz="2" w:space="0" w:color="000000" w:themeColor="text1"/>
      </w:tblBorders>
    </w:tblPr>
    <w:tblStylePr w:type="firstRow">
      <w:pPr>
        <w:jc w:val="center"/>
      </w:pPr>
      <w:rPr>
        <w:rFonts w:ascii="Calibri" w:hAnsi="Calibri"/>
        <w:b/>
        <w:color w:val="FFFFFF" w:themeColor="background1"/>
        <w:sz w:val="20"/>
      </w:rPr>
      <w:tblPr/>
      <w:tcPr>
        <w:shd w:val="clear" w:color="auto" w:fill="024D7C" w:themeFill="accent1"/>
      </w:tcPr>
    </w:tblStylePr>
    <w:tblStylePr w:type="firstCol">
      <w:pPr>
        <w:wordWrap/>
        <w:jc w:val="left"/>
      </w:pPr>
    </w:tblStylePr>
    <w:tblStylePr w:type="band1Vert">
      <w:pPr>
        <w:jc w:val="center"/>
      </w:pPr>
      <w:tblPr/>
      <w:tcPr>
        <w:vAlign w:val="center"/>
      </w:tcPr>
    </w:tblStylePr>
    <w:tblStylePr w:type="band1Horz">
      <w:rPr>
        <w:rFonts w:asciiTheme="majorHAnsi" w:hAnsiTheme="majorHAnsi"/>
        <w:color w:val="000000" w:themeColor="text1"/>
        <w:sz w:val="20"/>
      </w:rPr>
      <w:tblPr/>
      <w:tcPr>
        <w:shd w:val="clear" w:color="auto" w:fill="E7E6E6" w:themeFill="background2"/>
      </w:tcPr>
    </w:tblStylePr>
    <w:tblStylePr w:type="band2Horz">
      <w:rPr>
        <w:rFonts w:asciiTheme="majorHAnsi" w:hAnsiTheme="majorHAnsi"/>
        <w:color w:val="000000" w:themeColor="text1"/>
        <w:sz w:val="20"/>
      </w:rPr>
    </w:tblStylePr>
  </w:style>
  <w:style w:type="paragraph" w:customStyle="1" w:styleId="CaptionCredit">
    <w:name w:val="Caption/Credit"/>
    <w:basedOn w:val="Table-FigureText"/>
    <w:next w:val="ResBodyText"/>
    <w:qFormat/>
    <w:rsid w:val="001478A5"/>
    <w:pPr>
      <w:spacing w:before="80" w:after="240" w:line="240" w:lineRule="auto"/>
    </w:pPr>
    <w:rPr>
      <w:color w:val="7F7F7F" w:themeColor="text1" w:themeTint="80"/>
      <w:sz w:val="17"/>
      <w:szCs w:val="17"/>
    </w:rPr>
  </w:style>
  <w:style w:type="paragraph" w:styleId="Caption">
    <w:name w:val="caption"/>
    <w:basedOn w:val="Normal"/>
    <w:next w:val="Normal"/>
    <w:uiPriority w:val="35"/>
    <w:unhideWhenUsed/>
    <w:qFormat/>
    <w:rsid w:val="0052643B"/>
    <w:pPr>
      <w:spacing w:line="240" w:lineRule="auto"/>
    </w:pPr>
    <w:rPr>
      <w:i/>
      <w:iCs/>
      <w:color w:val="44546A" w:themeColor="text2"/>
      <w:sz w:val="18"/>
    </w:rPr>
  </w:style>
  <w:style w:type="character" w:styleId="CommentReference">
    <w:name w:val="annotation reference"/>
    <w:basedOn w:val="DefaultParagraphFont"/>
    <w:uiPriority w:val="99"/>
    <w:semiHidden/>
    <w:unhideWhenUsed/>
    <w:rsid w:val="00100DAF"/>
    <w:rPr>
      <w:sz w:val="16"/>
      <w:szCs w:val="16"/>
    </w:rPr>
  </w:style>
  <w:style w:type="paragraph" w:styleId="CommentText">
    <w:name w:val="annotation text"/>
    <w:basedOn w:val="Normal"/>
    <w:link w:val="CommentTextChar"/>
    <w:uiPriority w:val="99"/>
    <w:unhideWhenUsed/>
    <w:rsid w:val="00100DAF"/>
    <w:pPr>
      <w:spacing w:line="240" w:lineRule="auto"/>
    </w:pPr>
    <w:rPr>
      <w:szCs w:val="20"/>
    </w:rPr>
  </w:style>
  <w:style w:type="character" w:customStyle="1" w:styleId="CommentTextChar">
    <w:name w:val="Comment Text Char"/>
    <w:basedOn w:val="DefaultParagraphFont"/>
    <w:link w:val="CommentText"/>
    <w:uiPriority w:val="99"/>
    <w:rsid w:val="00100DAF"/>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100DAF"/>
    <w:rPr>
      <w:b/>
      <w:bCs/>
    </w:rPr>
  </w:style>
  <w:style w:type="character" w:customStyle="1" w:styleId="CommentSubjectChar">
    <w:name w:val="Comment Subject Char"/>
    <w:basedOn w:val="CommentTextChar"/>
    <w:link w:val="CommentSubject"/>
    <w:uiPriority w:val="99"/>
    <w:semiHidden/>
    <w:rsid w:val="00100DAF"/>
    <w:rPr>
      <w:rFonts w:ascii="Arial" w:hAnsi="Arial"/>
      <w:b/>
      <w:bCs/>
      <w:sz w:val="20"/>
      <w:szCs w:val="20"/>
    </w:rPr>
  </w:style>
  <w:style w:type="paragraph" w:customStyle="1" w:styleId="Listbullets">
    <w:name w:val="List: bullets"/>
    <w:basedOn w:val="ListBullet"/>
    <w:link w:val="ListbulletsChar"/>
    <w:qFormat/>
    <w:rsid w:val="004D7211"/>
  </w:style>
  <w:style w:type="paragraph" w:styleId="ListParagraph">
    <w:name w:val="List Paragraph"/>
    <w:basedOn w:val="Normal"/>
    <w:link w:val="ListParagraphChar"/>
    <w:uiPriority w:val="34"/>
    <w:qFormat/>
    <w:rsid w:val="00D05864"/>
    <w:pPr>
      <w:ind w:left="720"/>
      <w:contextualSpacing/>
    </w:pPr>
  </w:style>
  <w:style w:type="character" w:customStyle="1" w:styleId="ResBodyTextChar">
    <w:name w:val="Res Body Text Char"/>
    <w:basedOn w:val="DefaultParagraphFont"/>
    <w:link w:val="ResBodyText"/>
    <w:rsid w:val="004733D4"/>
    <w:rPr>
      <w:rFonts w:ascii="Calibri Light" w:hAnsi="Calibri Light" w:cs="Arial"/>
      <w:sz w:val="20"/>
      <w:szCs w:val="18"/>
    </w:rPr>
  </w:style>
  <w:style w:type="character" w:customStyle="1" w:styleId="ListBulletChar">
    <w:name w:val="List Bullet Char"/>
    <w:aliases w:val="Res List Bullet Char"/>
    <w:basedOn w:val="ResBodyTextChar"/>
    <w:link w:val="ListBullet"/>
    <w:uiPriority w:val="99"/>
    <w:rsid w:val="004733D4"/>
    <w:rPr>
      <w:rFonts w:ascii="Calibri Light" w:hAnsi="Calibri Light" w:cs="Arial"/>
      <w:sz w:val="20"/>
      <w:szCs w:val="18"/>
    </w:rPr>
  </w:style>
  <w:style w:type="character" w:customStyle="1" w:styleId="ListbulletsChar">
    <w:name w:val="List: bullets Char"/>
    <w:basedOn w:val="ListBulletChar"/>
    <w:link w:val="Listbullets"/>
    <w:rsid w:val="004D7211"/>
    <w:rPr>
      <w:rFonts w:ascii="Calibri Light" w:hAnsi="Calibri Light" w:cs="Arial"/>
      <w:sz w:val="20"/>
      <w:szCs w:val="18"/>
    </w:rPr>
  </w:style>
  <w:style w:type="paragraph" w:customStyle="1" w:styleId="Style1">
    <w:name w:val="Style1"/>
    <w:basedOn w:val="ListParagraph"/>
    <w:link w:val="Style1Char"/>
    <w:rsid w:val="00D05864"/>
  </w:style>
  <w:style w:type="paragraph" w:styleId="NoSpacing">
    <w:name w:val="No Spacing"/>
    <w:aliases w:val="Body: no spacing"/>
    <w:uiPriority w:val="1"/>
    <w:rsid w:val="00D05864"/>
    <w:pPr>
      <w:spacing w:after="0" w:line="240" w:lineRule="auto"/>
    </w:pPr>
    <w:rPr>
      <w:rFonts w:ascii="Calibri Light" w:hAnsi="Calibri Light" w:cs="Arial"/>
      <w:sz w:val="20"/>
      <w:szCs w:val="18"/>
    </w:rPr>
  </w:style>
  <w:style w:type="character" w:customStyle="1" w:styleId="ListParagraphChar">
    <w:name w:val="List Paragraph Char"/>
    <w:basedOn w:val="DefaultParagraphFont"/>
    <w:link w:val="ListParagraph"/>
    <w:uiPriority w:val="34"/>
    <w:rsid w:val="00D05864"/>
    <w:rPr>
      <w:rFonts w:ascii="Calibri Light" w:hAnsi="Calibri Light" w:cs="Arial"/>
      <w:sz w:val="20"/>
      <w:szCs w:val="18"/>
    </w:rPr>
  </w:style>
  <w:style w:type="character" w:customStyle="1" w:styleId="Style1Char">
    <w:name w:val="Style1 Char"/>
    <w:basedOn w:val="ListParagraphChar"/>
    <w:link w:val="Style1"/>
    <w:rsid w:val="00D05864"/>
    <w:rPr>
      <w:rFonts w:ascii="Calibri Light" w:hAnsi="Calibri Light" w:cs="Arial"/>
      <w:sz w:val="20"/>
      <w:szCs w:val="18"/>
    </w:rPr>
  </w:style>
  <w:style w:type="paragraph" w:customStyle="1" w:styleId="Style2">
    <w:name w:val="Style2"/>
    <w:basedOn w:val="Normal"/>
    <w:link w:val="Style2Char"/>
    <w:rsid w:val="0059314F"/>
  </w:style>
  <w:style w:type="paragraph" w:customStyle="1" w:styleId="CoverTitle">
    <w:name w:val="Cover Title"/>
    <w:basedOn w:val="Title"/>
    <w:link w:val="CoverTitleChar"/>
    <w:qFormat/>
    <w:rsid w:val="00D2512F"/>
    <w:rPr>
      <w:b/>
      <w:color w:val="FFFFFF" w:themeColor="background1"/>
      <w:sz w:val="72"/>
      <w:szCs w:val="68"/>
    </w:rPr>
  </w:style>
  <w:style w:type="character" w:customStyle="1" w:styleId="Style2Char">
    <w:name w:val="Style2 Char"/>
    <w:basedOn w:val="DefaultParagraphFont"/>
    <w:link w:val="Style2"/>
    <w:rsid w:val="0059314F"/>
    <w:rPr>
      <w:rFonts w:ascii="Calibri Light" w:hAnsi="Calibri Light" w:cs="Arial"/>
      <w:sz w:val="20"/>
      <w:szCs w:val="18"/>
    </w:rPr>
  </w:style>
  <w:style w:type="paragraph" w:customStyle="1" w:styleId="Authorinfo">
    <w:name w:val="Author info"/>
    <w:basedOn w:val="ResAuthorNameCred"/>
    <w:link w:val="AuthorinfoChar"/>
    <w:qFormat/>
    <w:rsid w:val="006B45D5"/>
    <w:pPr>
      <w:spacing w:after="120"/>
    </w:pPr>
    <w:rPr>
      <w:rFonts w:asciiTheme="minorHAnsi" w:hAnsiTheme="minorHAnsi" w:cstheme="minorHAnsi"/>
      <w:sz w:val="18"/>
    </w:rPr>
  </w:style>
  <w:style w:type="character" w:customStyle="1" w:styleId="CoverTitleChar">
    <w:name w:val="Cover Title Char"/>
    <w:basedOn w:val="TitleChar"/>
    <w:link w:val="CoverTitle"/>
    <w:rsid w:val="00D2512F"/>
    <w:rPr>
      <w:rFonts w:cs="Arial"/>
      <w:b/>
      <w:color w:val="FFFFFF" w:themeColor="background1"/>
      <w:sz w:val="72"/>
      <w:szCs w:val="68"/>
    </w:rPr>
  </w:style>
  <w:style w:type="character" w:styleId="SubtleEmphasis">
    <w:name w:val="Subtle Emphasis"/>
    <w:basedOn w:val="DefaultParagraphFont"/>
    <w:uiPriority w:val="19"/>
    <w:qFormat/>
    <w:rsid w:val="00FF5661"/>
    <w:rPr>
      <w:i/>
      <w:iCs/>
      <w:color w:val="404040" w:themeColor="text1" w:themeTint="BF"/>
    </w:rPr>
  </w:style>
  <w:style w:type="character" w:customStyle="1" w:styleId="ResAuthorNameCredChar">
    <w:name w:val="Res Author Name &amp; Cred Char"/>
    <w:basedOn w:val="DefaultParagraphFont"/>
    <w:link w:val="ResAuthorNameCred"/>
    <w:rsid w:val="001B3C51"/>
    <w:rPr>
      <w:rFonts w:ascii="Source Sans Pro Light" w:hAnsi="Source Sans Pro Light" w:cs="Open Sans"/>
      <w:color w:val="000000" w:themeColor="text1"/>
      <w:sz w:val="16"/>
      <w:szCs w:val="18"/>
    </w:rPr>
  </w:style>
  <w:style w:type="character" w:customStyle="1" w:styleId="AuthorinfoChar">
    <w:name w:val="Author info Char"/>
    <w:basedOn w:val="ResAuthorNameCredChar"/>
    <w:link w:val="Authorinfo"/>
    <w:rsid w:val="006B45D5"/>
    <w:rPr>
      <w:rFonts w:ascii="Source Sans Pro Light" w:hAnsi="Source Sans Pro Light" w:cstheme="minorHAnsi"/>
      <w:color w:val="000000" w:themeColor="text1"/>
      <w:sz w:val="18"/>
      <w:szCs w:val="18"/>
    </w:rPr>
  </w:style>
  <w:style w:type="character" w:styleId="Emphasis">
    <w:name w:val="Emphasis"/>
    <w:basedOn w:val="DefaultParagraphFont"/>
    <w:uiPriority w:val="20"/>
    <w:qFormat/>
    <w:rsid w:val="00FF5661"/>
    <w:rPr>
      <w:i/>
      <w:iCs/>
    </w:rPr>
  </w:style>
  <w:style w:type="character" w:styleId="IntenseEmphasis">
    <w:name w:val="Intense Emphasis"/>
    <w:basedOn w:val="DefaultParagraphFont"/>
    <w:uiPriority w:val="21"/>
    <w:qFormat/>
    <w:rsid w:val="00FF5661"/>
    <w:rPr>
      <w:i/>
      <w:iCs/>
      <w:color w:val="024D7C" w:themeColor="accent1"/>
    </w:rPr>
  </w:style>
  <w:style w:type="paragraph" w:customStyle="1" w:styleId="Bodysinglespace">
    <w:name w:val="Body: single space"/>
    <w:basedOn w:val="Normal"/>
    <w:link w:val="BodysinglespaceChar"/>
    <w:qFormat/>
    <w:rsid w:val="00F25B0E"/>
    <w:pPr>
      <w:spacing w:after="0"/>
    </w:pPr>
  </w:style>
  <w:style w:type="character" w:customStyle="1" w:styleId="BodysinglespaceChar">
    <w:name w:val="Body: single space Char"/>
    <w:basedOn w:val="DefaultParagraphFont"/>
    <w:link w:val="Bodysinglespace"/>
    <w:rsid w:val="00F25B0E"/>
    <w:rPr>
      <w:rFonts w:ascii="Calibri Light" w:hAnsi="Calibri Light" w:cs="Arial"/>
      <w:sz w:val="20"/>
      <w:szCs w:val="18"/>
    </w:rPr>
  </w:style>
  <w:style w:type="paragraph" w:styleId="BodyText">
    <w:name w:val="Body Text"/>
    <w:basedOn w:val="Normal"/>
    <w:link w:val="BodyTextChar"/>
    <w:uiPriority w:val="99"/>
    <w:semiHidden/>
    <w:unhideWhenUsed/>
    <w:rsid w:val="005A54AE"/>
    <w:pPr>
      <w:spacing w:after="120"/>
    </w:pPr>
  </w:style>
  <w:style w:type="character" w:customStyle="1" w:styleId="BodyTextChar">
    <w:name w:val="Body Text Char"/>
    <w:basedOn w:val="DefaultParagraphFont"/>
    <w:link w:val="BodyText"/>
    <w:uiPriority w:val="99"/>
    <w:semiHidden/>
    <w:rsid w:val="005A54AE"/>
    <w:rPr>
      <w:rFonts w:ascii="Calibri Light" w:hAnsi="Calibri Light" w:cs="Arial"/>
      <w:sz w:val="20"/>
      <w:szCs w:val="18"/>
    </w:rPr>
  </w:style>
  <w:style w:type="paragraph" w:customStyle="1" w:styleId="Listunmarked">
    <w:name w:val="List: unmarked"/>
    <w:basedOn w:val="ListBullet"/>
    <w:link w:val="ListunmarkedChar"/>
    <w:qFormat/>
    <w:rsid w:val="00E450AD"/>
    <w:pPr>
      <w:ind w:left="1080" w:hanging="720"/>
    </w:pPr>
  </w:style>
  <w:style w:type="table" w:styleId="TableGrid">
    <w:name w:val="Table Grid"/>
    <w:basedOn w:val="TableNormal"/>
    <w:uiPriority w:val="39"/>
    <w:rsid w:val="000228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unmarkedChar">
    <w:name w:val="List: unmarked Char"/>
    <w:basedOn w:val="ListBulletChar"/>
    <w:link w:val="Listunmarked"/>
    <w:rsid w:val="00E450AD"/>
    <w:rPr>
      <w:rFonts w:ascii="Calibri Light" w:hAnsi="Calibri Light" w:cs="Arial"/>
      <w:sz w:val="20"/>
      <w:szCs w:val="18"/>
    </w:rPr>
  </w:style>
  <w:style w:type="paragraph" w:customStyle="1" w:styleId="Tableheaderrows">
    <w:name w:val="Table header rows"/>
    <w:basedOn w:val="Table-FigureText"/>
    <w:link w:val="TableheaderrowsChar"/>
    <w:qFormat/>
    <w:rsid w:val="00D765D4"/>
    <w:pPr>
      <w:spacing w:line="240" w:lineRule="auto"/>
      <w:jc w:val="center"/>
    </w:pPr>
    <w:rPr>
      <w:rFonts w:asciiTheme="majorHAnsi" w:hAnsiTheme="majorHAnsi"/>
      <w:color w:val="FFFFFF" w:themeColor="background1"/>
    </w:rPr>
  </w:style>
  <w:style w:type="character" w:customStyle="1" w:styleId="Table-FigureTextChar">
    <w:name w:val="Table-Figure Text Char"/>
    <w:basedOn w:val="BodysinglespaceChar"/>
    <w:link w:val="Table-FigureText"/>
    <w:rsid w:val="00D765D4"/>
    <w:rPr>
      <w:rFonts w:ascii="Calibri Light" w:hAnsi="Calibri Light" w:cs="Arial"/>
      <w:sz w:val="18"/>
      <w:szCs w:val="18"/>
    </w:rPr>
  </w:style>
  <w:style w:type="character" w:customStyle="1" w:styleId="TableheaderrowsChar">
    <w:name w:val="Table header rows Char"/>
    <w:basedOn w:val="Table-FigureTextChar"/>
    <w:link w:val="Tableheaderrows"/>
    <w:rsid w:val="00D765D4"/>
    <w:rPr>
      <w:rFonts w:asciiTheme="majorHAnsi" w:hAnsiTheme="majorHAnsi" w:cs="Arial"/>
      <w:color w:val="FFFFFF" w:themeColor="background1"/>
      <w:sz w:val="18"/>
      <w:szCs w:val="18"/>
    </w:rPr>
  </w:style>
  <w:style w:type="paragraph" w:styleId="Revision">
    <w:name w:val="Revision"/>
    <w:hidden/>
    <w:uiPriority w:val="99"/>
    <w:semiHidden/>
    <w:rsid w:val="00776B31"/>
    <w:pPr>
      <w:spacing w:after="0" w:line="240" w:lineRule="auto"/>
    </w:pPr>
    <w:rPr>
      <w:rFonts w:ascii="Calibri Light" w:hAnsi="Calibri Light" w:cs="Arial"/>
      <w:sz w:val="20"/>
      <w:szCs w:val="18"/>
    </w:rPr>
  </w:style>
  <w:style w:type="paragraph" w:customStyle="1" w:styleId="CoverSubtitle">
    <w:name w:val="Cover Subtitle"/>
    <w:basedOn w:val="CoverTitle"/>
    <w:link w:val="CoverSubtitleChar"/>
    <w:rsid w:val="008D03EA"/>
    <w:rPr>
      <w:sz w:val="52"/>
      <w:szCs w:val="52"/>
    </w:rPr>
  </w:style>
  <w:style w:type="paragraph" w:customStyle="1" w:styleId="CoverDate">
    <w:name w:val="Cover Date"/>
    <w:basedOn w:val="Subtitle"/>
    <w:link w:val="CoverDateChar"/>
    <w:qFormat/>
    <w:rsid w:val="00D2512F"/>
    <w:rPr>
      <w:rFonts w:cstheme="minorHAnsi"/>
      <w:caps/>
      <w:color w:val="FFFFFF" w:themeColor="background1"/>
      <w:sz w:val="40"/>
    </w:rPr>
  </w:style>
  <w:style w:type="character" w:customStyle="1" w:styleId="CoverSubtitleChar">
    <w:name w:val="Cover Subtitle Char"/>
    <w:basedOn w:val="CoverTitleChar"/>
    <w:link w:val="CoverSubtitle"/>
    <w:rsid w:val="008D03EA"/>
    <w:rPr>
      <w:rFonts w:cs="Arial"/>
      <w:b/>
      <w:color w:val="FFFFFF" w:themeColor="background1"/>
      <w:sz w:val="52"/>
      <w:szCs w:val="52"/>
    </w:rPr>
  </w:style>
  <w:style w:type="character" w:customStyle="1" w:styleId="CoverDateChar">
    <w:name w:val="Cover Date Char"/>
    <w:basedOn w:val="SubtitleChar"/>
    <w:link w:val="CoverDate"/>
    <w:rsid w:val="00D2512F"/>
    <w:rPr>
      <w:rFonts w:eastAsia="Avenir LT Std 35 Light" w:cstheme="minorHAnsi"/>
      <w:caps/>
      <w:color w:val="FFFFFF" w:themeColor="background1"/>
      <w:sz w:val="40"/>
      <w:szCs w:val="68"/>
    </w:rPr>
  </w:style>
  <w:style w:type="character" w:customStyle="1" w:styleId="normaltextrun">
    <w:name w:val="normaltextrun"/>
    <w:basedOn w:val="DefaultParagraphFont"/>
    <w:rsid w:val="00CE5270"/>
  </w:style>
  <w:style w:type="character" w:customStyle="1" w:styleId="UnresolvedMention1">
    <w:name w:val="Unresolved Mention1"/>
    <w:basedOn w:val="DefaultParagraphFont"/>
    <w:uiPriority w:val="99"/>
    <w:semiHidden/>
    <w:unhideWhenUsed/>
    <w:rsid w:val="00CE5270"/>
    <w:rPr>
      <w:color w:val="605E5C"/>
      <w:shd w:val="clear" w:color="auto" w:fill="E1DFDD"/>
    </w:rPr>
  </w:style>
  <w:style w:type="paragraph" w:customStyle="1" w:styleId="Bodynormal">
    <w:name w:val="Body: normal"/>
    <w:basedOn w:val="Normal"/>
    <w:link w:val="BodynormalChar"/>
    <w:qFormat/>
    <w:rsid w:val="00532FC8"/>
  </w:style>
  <w:style w:type="character" w:customStyle="1" w:styleId="BodynormalChar">
    <w:name w:val="Body: normal Char"/>
    <w:basedOn w:val="DefaultParagraphFont"/>
    <w:link w:val="Bodynormal"/>
    <w:rsid w:val="00532FC8"/>
    <w:rPr>
      <w:rFonts w:ascii="Calibri Light" w:hAnsi="Calibri Light" w:cs="Arial"/>
      <w:sz w:val="20"/>
      <w:szCs w:val="18"/>
    </w:rPr>
  </w:style>
  <w:style w:type="character" w:styleId="UnresolvedMention">
    <w:name w:val="Unresolved Mention"/>
    <w:basedOn w:val="DefaultParagraphFont"/>
    <w:uiPriority w:val="99"/>
    <w:semiHidden/>
    <w:unhideWhenUsed/>
    <w:rsid w:val="00655C4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975225">
      <w:bodyDiv w:val="1"/>
      <w:marLeft w:val="0"/>
      <w:marRight w:val="0"/>
      <w:marTop w:val="0"/>
      <w:marBottom w:val="0"/>
      <w:divBdr>
        <w:top w:val="none" w:sz="0" w:space="0" w:color="auto"/>
        <w:left w:val="none" w:sz="0" w:space="0" w:color="auto"/>
        <w:bottom w:val="none" w:sz="0" w:space="0" w:color="auto"/>
        <w:right w:val="none" w:sz="0" w:space="0" w:color="auto"/>
      </w:divBdr>
    </w:div>
    <w:div w:id="1072048613">
      <w:bodyDiv w:val="1"/>
      <w:marLeft w:val="0"/>
      <w:marRight w:val="0"/>
      <w:marTop w:val="0"/>
      <w:marBottom w:val="0"/>
      <w:divBdr>
        <w:top w:val="none" w:sz="0" w:space="0" w:color="auto"/>
        <w:left w:val="none" w:sz="0" w:space="0" w:color="auto"/>
        <w:bottom w:val="none" w:sz="0" w:space="0" w:color="auto"/>
        <w:right w:val="none" w:sz="0" w:space="0" w:color="auto"/>
      </w:divBdr>
    </w:div>
    <w:div w:id="1132939096">
      <w:bodyDiv w:val="1"/>
      <w:marLeft w:val="0"/>
      <w:marRight w:val="0"/>
      <w:marTop w:val="0"/>
      <w:marBottom w:val="0"/>
      <w:divBdr>
        <w:top w:val="none" w:sz="0" w:space="0" w:color="auto"/>
        <w:left w:val="none" w:sz="0" w:space="0" w:color="auto"/>
        <w:bottom w:val="none" w:sz="0" w:space="0" w:color="auto"/>
        <w:right w:val="none" w:sz="0" w:space="0" w:color="auto"/>
      </w:divBdr>
    </w:div>
    <w:div w:id="1375078341">
      <w:bodyDiv w:val="1"/>
      <w:marLeft w:val="0"/>
      <w:marRight w:val="0"/>
      <w:marTop w:val="0"/>
      <w:marBottom w:val="0"/>
      <w:divBdr>
        <w:top w:val="none" w:sz="0" w:space="0" w:color="auto"/>
        <w:left w:val="none" w:sz="0" w:space="0" w:color="auto"/>
        <w:bottom w:val="none" w:sz="0" w:space="0" w:color="auto"/>
        <w:right w:val="none" w:sz="0" w:space="0" w:color="auto"/>
      </w:divBdr>
    </w:div>
    <w:div w:id="1399935208">
      <w:bodyDiv w:val="1"/>
      <w:marLeft w:val="0"/>
      <w:marRight w:val="0"/>
      <w:marTop w:val="0"/>
      <w:marBottom w:val="0"/>
      <w:divBdr>
        <w:top w:val="none" w:sz="0" w:space="0" w:color="auto"/>
        <w:left w:val="none" w:sz="0" w:space="0" w:color="auto"/>
        <w:bottom w:val="none" w:sz="0" w:space="0" w:color="auto"/>
        <w:right w:val="none" w:sz="0" w:space="0" w:color="auto"/>
      </w:divBdr>
    </w:div>
    <w:div w:id="1582595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5.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eschulty@soa.org" TargetMode="Externa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hyperlink" Target="http://www.limra.com"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mailto:eschulty@soa.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www.SOA.org" TargetMode="Externa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https://www.soa.org/research/research-topic-list/" TargetMode="External"/><Relationship Id="rId10" Type="http://schemas.openxmlformats.org/officeDocument/2006/relationships/image" Target="media/image3.jpeg"/><Relationship Id="rId19" Type="http://schemas.openxmlformats.org/officeDocument/2006/relationships/hyperlink" Target="mailto:SOADataTransmissions@limra.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hyperlink" Target="https://www.soa.org/programs/strategic-research-program/"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SOA-W2021">
  <a:themeElements>
    <a:clrScheme name="SOA Blue hyperlink">
      <a:dk1>
        <a:srgbClr val="000000"/>
      </a:dk1>
      <a:lt1>
        <a:sysClr val="window" lastClr="FFFFFF"/>
      </a:lt1>
      <a:dk2>
        <a:srgbClr val="44546A"/>
      </a:dk2>
      <a:lt2>
        <a:srgbClr val="E7E6E6"/>
      </a:lt2>
      <a:accent1>
        <a:srgbClr val="024D7C"/>
      </a:accent1>
      <a:accent2>
        <a:srgbClr val="77C4D5"/>
      </a:accent2>
      <a:accent3>
        <a:srgbClr val="D23138"/>
      </a:accent3>
      <a:accent4>
        <a:srgbClr val="FDCE07"/>
      </a:accent4>
      <a:accent5>
        <a:srgbClr val="BABF33"/>
      </a:accent5>
      <a:accent6>
        <a:srgbClr val="E27F26"/>
      </a:accent6>
      <a:hlink>
        <a:srgbClr val="4E82A3"/>
      </a:hlink>
      <a:folHlink>
        <a:srgbClr val="024D7C"/>
      </a:folHlink>
    </a:clrScheme>
    <a:fontScheme name="SOA">
      <a:majorFont>
        <a:latin typeface="Calibri"/>
        <a:ea typeface=""/>
        <a:cs typeface=""/>
      </a:majorFont>
      <a:minorFont>
        <a:latin typeface="Calibri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A22033-49E4-42E4-B9E7-EE27F903AA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11</Pages>
  <Words>2899</Words>
  <Characters>16529</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Patrick Nolan</cp:lastModifiedBy>
  <cp:revision>6</cp:revision>
  <cp:lastPrinted>2020-01-31T21:19:00Z</cp:lastPrinted>
  <dcterms:created xsi:type="dcterms:W3CDTF">2023-03-08T16:37:00Z</dcterms:created>
  <dcterms:modified xsi:type="dcterms:W3CDTF">2023-03-08T20:56:00Z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6812621-54a3-4807-a8e5-5110932761ab_Enabled">
    <vt:lpwstr>true</vt:lpwstr>
  </property>
  <property fmtid="{D5CDD505-2E9C-101B-9397-08002B2CF9AE}" pid="3" name="MSIP_Label_b6812621-54a3-4807-a8e5-5110932761ab_SetDate">
    <vt:lpwstr>2023-03-06T19:08:27Z</vt:lpwstr>
  </property>
  <property fmtid="{D5CDD505-2E9C-101B-9397-08002B2CF9AE}" pid="4" name="MSIP_Label_b6812621-54a3-4807-a8e5-5110932761ab_Method">
    <vt:lpwstr>Privileged</vt:lpwstr>
  </property>
  <property fmtid="{D5CDD505-2E9C-101B-9397-08002B2CF9AE}" pid="5" name="MSIP_Label_b6812621-54a3-4807-a8e5-5110932761ab_Name">
    <vt:lpwstr>b6812621-54a3-4807-a8e5-5110932761ab</vt:lpwstr>
  </property>
  <property fmtid="{D5CDD505-2E9C-101B-9397-08002B2CF9AE}" pid="6" name="MSIP_Label_b6812621-54a3-4807-a8e5-5110932761ab_SiteId">
    <vt:lpwstr>582259a1-dcaa-4cca-b1cf-e60d3f045ecd</vt:lpwstr>
  </property>
  <property fmtid="{D5CDD505-2E9C-101B-9397-08002B2CF9AE}" pid="7" name="MSIP_Label_b6812621-54a3-4807-a8e5-5110932761ab_ActionId">
    <vt:lpwstr>4a023cac-75ed-4a32-94f0-f776ffa60c7e</vt:lpwstr>
  </property>
  <property fmtid="{D5CDD505-2E9C-101B-9397-08002B2CF9AE}" pid="8" name="MSIP_Label_b6812621-54a3-4807-a8e5-5110932761ab_ContentBits">
    <vt:lpwstr>0</vt:lpwstr>
  </property>
</Properties>
</file>